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O'Reilly Automotive, Inc. (ORLY)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O'Reilly Automotive, Inc.</w:t>
            </w:r>
          </w:p>
        </w:tc>
      </w:tr>
      <w:tr>
        <w:tc>
          <w:tcPr>
            <w:tcW w:type="dxa" w:w="4320"/>
          </w:tcPr>
          <w:p>
            <w:r>
              <w:rPr>
                <w:rFonts w:ascii="Calibri" w:hAnsi="Calibri"/>
                <w:b/>
                <w:sz w:val="22"/>
              </w:rPr>
              <w:t>Ticker</w:t>
            </w:r>
          </w:p>
        </w:tc>
        <w:tc>
          <w:tcPr>
            <w:tcW w:type="dxa" w:w="4320"/>
          </w:tcPr>
          <w:p>
            <w:r>
              <w:rPr>
                <w:rFonts w:ascii="Calibri" w:hAnsi="Calibri"/>
                <w:sz w:val="22"/>
              </w:rPr>
              <w:t>ORLY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Late July / Early August 2026 (TBD)</w:t>
            </w:r>
          </w:p>
        </w:tc>
      </w:tr>
      <w:tr>
        <w:tc>
          <w:tcPr>
            <w:tcW w:type="dxa" w:w="4320"/>
          </w:tcPr>
          <w:p>
            <w:r>
              <w:rPr>
                <w:rFonts w:ascii="Calibri" w:hAnsi="Calibri"/>
                <w:b/>
                <w:sz w:val="22"/>
              </w:rPr>
              <w:t>Last Earnings</w:t>
            </w:r>
          </w:p>
        </w:tc>
        <w:tc>
          <w:tcPr>
            <w:tcW w:type="dxa" w:w="4320"/>
          </w:tcPr>
          <w:p>
            <w:r>
              <w:rPr>
                <w:rFonts w:ascii="Calibri" w:hAnsi="Calibri"/>
                <w:sz w:val="22"/>
              </w:rPr>
              <w:t>Q1 2026 — April 29,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Sector ETF Used</w:t>
            </w:r>
          </w:p>
        </w:tc>
        <w:tc>
          <w:tcPr>
            <w:tcW w:type="dxa" w:w="4320"/>
          </w:tcPr>
          <w:p>
            <w:r>
              <w:rPr>
                <w:rFonts w:ascii="Calibri" w:hAnsi="Calibri"/>
                <w:sz w:val="22"/>
              </w:rPr>
              <w:t>SPY (S&amp;P 500) — used as market benchmark</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but not without risk — consensus is calling for ~5.2% comps and ~$0.865 diluted operating EPS, a bar that looks achievable given April's strong start, but the deceleration in June flagged by AutoZone (comps roughly flat in the final weeks of the quarter due to higher fuel prices) is the single biggest swing factor for ORLY's print.</w:t>
      </w:r>
    </w:p>
    <w:p>
      <w:r>
        <w:rPr>
          <w:rFonts w:ascii="Calibri" w:hAnsi="Calibri"/>
          <w:color w:val="525866"/>
          <w:sz w:val="22"/>
        </w:rPr>
        <w:t xml:space="preserve">Heading into Q2 2026, the bar for ORLY is moderate: consensus sits at </w:t>
      </w:r>
      <w:r>
        <w:rPr>
          <w:rFonts w:ascii="Calibri" w:hAnsi="Calibri"/>
          <w:b/>
          <w:color w:val="525866"/>
          <w:sz w:val="22"/>
        </w:rPr>
        <w:t>~5.2% comparable store sales</w:t>
      </w:r>
      <w:r>
        <w:rPr>
          <w:rFonts w:ascii="Calibri" w:hAnsi="Calibri"/>
          <w:color w:val="525866"/>
          <w:sz w:val="22"/>
        </w:rPr>
        <w:t xml:space="preserve"> and </w:t>
      </w:r>
      <w:r>
        <w:rPr>
          <w:rFonts w:ascii="Calibri" w:hAnsi="Calibri"/>
          <w:b/>
          <w:color w:val="525866"/>
          <w:sz w:val="22"/>
        </w:rPr>
        <w:t>~$0.865 diluted operating EPS</w:t>
      </w:r>
      <w:r>
        <w:rPr>
          <w:rFonts w:ascii="Calibri" w:hAnsi="Calibri"/>
          <w:color w:val="525866"/>
          <w:sz w:val="22"/>
        </w:rPr>
        <w:t xml:space="preserve">, both of which represent a step-up from Q2 2025 actuals (4.1% comps, $0.779 EPS) but are well within the trajectory ORLY has been delivering. Management's tone on the Q1 call was cautiously optimistic — April trends were described as "running well, strong, better than maybe we would have expected," and full-year comp guidance was maintained at 3–5% with results "pushed to the top half" of that range. Estimate revisions have been essentially flat since the Q1 print (Q2 EPS consensus moved from $0.863 to $0.865), suggesting the Street has largely digested the Q1 beat without aggressively raising the bar. The stock has given back most of its post-Q1 earnings pop, trading roughly flat to slightly below the pre-earnings close (~$91 vs. $91.69 base), meaning the multiple has compressed modestly and the stock is not pricing in a heroic beat. The key wildcard is the </w:t>
      </w:r>
      <w:r>
        <w:rPr>
          <w:rFonts w:ascii="Calibri" w:hAnsi="Calibri"/>
          <w:b/>
          <w:color w:val="525866"/>
          <w:sz w:val="22"/>
        </w:rPr>
        <w:t>Iran conflict-driven fuel price spike</w:t>
      </w:r>
      <w:r>
        <w:rPr>
          <w:rFonts w:ascii="Calibri" w:hAnsi="Calibri"/>
          <w:color w:val="525866"/>
          <w:sz w:val="22"/>
        </w:rPr>
        <w:t xml:space="preserve"> — AutoZone's Q3 FY2026 (April–June 2026) results showed domestic comps decelerating from +5% in April to +2.9% in the final four weeks, with the last two weeks at just +1.3%, explicitly attributed to unseasonably cool weather and softer consumer demand from higher energy prices; if ORLY experienced a similar June deceleration, the comp could come in below the ~5.2% consensus, though ORLY's stronger professional mix and share-gain momentum provide a partial offset.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~5.2% comps and $0.865 EPS are achievable given ORLY's recent momentum, but comparable store sales is the bigger swing factor given the June deceleration risk flagged by peers. EPS is less likely to surprise given stable SG&amp;A expectations.</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Comparable Store Sales (%)</w:t>
            </w:r>
          </w:p>
        </w:tc>
        <w:tc>
          <w:tcPr>
            <w:tcW w:type="dxa" w:w="1234"/>
          </w:tcPr>
          <w:p>
            <w:r>
              <w:rPr>
                <w:rFonts w:ascii="Calibri" w:hAnsi="Calibri"/>
                <w:sz w:val="22"/>
              </w:rPr>
              <w:t>8.1%</w:t>
            </w:r>
          </w:p>
        </w:tc>
        <w:tc>
          <w:tcPr>
            <w:tcW w:type="dxa" w:w="1234"/>
          </w:tcPr>
          <w:p>
            <w:r>
              <w:rPr>
                <w:rFonts w:ascii="Calibri" w:hAnsi="Calibri"/>
                <w:sz w:val="22"/>
              </w:rPr>
              <w:t>4.1%</w:t>
            </w:r>
          </w:p>
        </w:tc>
        <w:tc>
          <w:tcPr>
            <w:tcW w:type="dxa" w:w="1234"/>
          </w:tcPr>
          <w:p>
            <w:r>
              <w:rPr>
                <w:rFonts w:ascii="Calibri" w:hAnsi="Calibri"/>
                <w:sz w:val="22"/>
              </w:rPr>
              <w:t>5.19%</w:t>
            </w:r>
          </w:p>
        </w:tc>
        <w:tc>
          <w:tcPr>
            <w:tcW w:type="dxa" w:w="1234"/>
          </w:tcPr>
          <w:p>
            <w:r>
              <w:rPr>
                <w:rFonts w:ascii="Calibri" w:hAnsi="Calibri"/>
                <w:sz w:val="22"/>
              </w:rPr>
              <w:t>+108 bps YoY</w:t>
            </w:r>
          </w:p>
        </w:tc>
        <w:tc>
          <w:tcPr>
            <w:tcW w:type="dxa" w:w="1234"/>
          </w:tcPr>
          <w:p>
            <w:r>
              <w:rPr>
                <w:rFonts w:ascii="Calibri" w:hAnsi="Calibri"/>
                <w:sz w:val="22"/>
              </w:rPr>
              <w:t>3%–5% (mid: 4.0%)</w:t>
            </w:r>
          </w:p>
        </w:tc>
        <w:tc>
          <w:tcPr>
            <w:tcW w:type="dxa" w:w="1234"/>
          </w:tcPr>
          <w:p>
            <w:r>
              <w:rPr>
                <w:rFonts w:ascii="Calibri" w:hAnsi="Calibri"/>
                <w:sz w:val="22"/>
              </w:rPr>
              <w:t>+119 bps above midpoint</w:t>
            </w:r>
          </w:p>
        </w:tc>
      </w:tr>
      <w:tr>
        <w:tc>
          <w:tcPr>
            <w:tcW w:type="dxa" w:w="1234"/>
          </w:tcPr>
          <w:p>
            <w:r>
              <w:rPr>
                <w:rFonts w:ascii="Calibri" w:hAnsi="Calibri"/>
                <w:sz w:val="22"/>
              </w:rPr>
              <w:t>EPS — Diluted Operating ($)</w:t>
            </w:r>
          </w:p>
        </w:tc>
        <w:tc>
          <w:tcPr>
            <w:tcW w:type="dxa" w:w="1234"/>
          </w:tcPr>
          <w:p>
            <w:r>
              <w:rPr>
                <w:rFonts w:ascii="Calibri" w:hAnsi="Calibri"/>
                <w:sz w:val="22"/>
              </w:rPr>
              <w:t>$0.717</w:t>
            </w:r>
          </w:p>
        </w:tc>
        <w:tc>
          <w:tcPr>
            <w:tcW w:type="dxa" w:w="1234"/>
          </w:tcPr>
          <w:p>
            <w:r>
              <w:rPr>
                <w:rFonts w:ascii="Calibri" w:hAnsi="Calibri"/>
                <w:sz w:val="22"/>
              </w:rPr>
              <w:t>$0.779</w:t>
            </w:r>
          </w:p>
        </w:tc>
        <w:tc>
          <w:tcPr>
            <w:tcW w:type="dxa" w:w="1234"/>
          </w:tcPr>
          <w:p>
            <w:r>
              <w:rPr>
                <w:rFonts w:ascii="Calibri" w:hAnsi="Calibri"/>
                <w:sz w:val="22"/>
              </w:rPr>
              <w:t>$0.865</w:t>
            </w:r>
          </w:p>
        </w:tc>
        <w:tc>
          <w:tcPr>
            <w:tcW w:type="dxa" w:w="1234"/>
          </w:tcPr>
          <w:p>
            <w:r>
              <w:rPr>
                <w:rFonts w:ascii="Calibri" w:hAnsi="Calibri"/>
                <w:sz w:val="22"/>
              </w:rPr>
              <w:t>+$0.086 / +11.0% YoY</w:t>
            </w:r>
          </w:p>
        </w:tc>
        <w:tc>
          <w:tcPr>
            <w:tcW w:type="dxa" w:w="1234"/>
          </w:tcPr>
          <w:p>
            <w:r>
              <w:rPr>
                <w:rFonts w:ascii="Calibri" w:hAnsi="Calibri"/>
                <w:sz w:val="22"/>
              </w:rPr>
              <w:t>FY $3.15–$3.25 (mid: $3.20)</w:t>
            </w:r>
          </w:p>
        </w:tc>
        <w:tc>
          <w:tcPr>
            <w:tcW w:type="dxa" w:w="1234"/>
          </w:tcPr>
          <w:p>
            <w:r>
              <w:rPr>
                <w:rFonts w:ascii="Calibri" w:hAnsi="Calibri"/>
                <w:sz w:val="22"/>
              </w:rPr>
              <w:t>FY consensus $3.272 vs. mid $3.20 (+2.3% above)</w:t>
            </w:r>
          </w:p>
        </w:tc>
      </w:tr>
      <w:tr>
        <w:tc>
          <w:tcPr>
            <w:tcW w:type="dxa" w:w="1234"/>
          </w:tcPr>
          <w:p>
            <w:r>
              <w:rPr>
                <w:rFonts w:ascii="Calibri" w:hAnsi="Calibri"/>
                <w:sz w:val="22"/>
              </w:rPr>
              <w:t>Revenue / Sales ($B)</w:t>
            </w:r>
          </w:p>
        </w:tc>
        <w:tc>
          <w:tcPr>
            <w:tcW w:type="dxa" w:w="1234"/>
          </w:tcPr>
          <w:p>
            <w:r>
              <w:rPr>
                <w:rFonts w:ascii="Calibri" w:hAnsi="Calibri"/>
                <w:sz w:val="22"/>
              </w:rPr>
              <w:t>$4.561B</w:t>
            </w:r>
          </w:p>
        </w:tc>
        <w:tc>
          <w:tcPr>
            <w:tcW w:type="dxa" w:w="1234"/>
          </w:tcPr>
          <w:p>
            <w:r>
              <w:rPr>
                <w:rFonts w:ascii="Calibri" w:hAnsi="Calibri"/>
                <w:sz w:val="22"/>
              </w:rPr>
              <w:t>$4.525B</w:t>
            </w:r>
          </w:p>
        </w:tc>
        <w:tc>
          <w:tcPr>
            <w:tcW w:type="dxa" w:w="1234"/>
          </w:tcPr>
          <w:p>
            <w:r>
              <w:rPr>
                <w:rFonts w:ascii="Calibri" w:hAnsi="Calibri"/>
                <w:sz w:val="22"/>
              </w:rPr>
              <w:t>$4.860B</w:t>
            </w:r>
          </w:p>
        </w:tc>
        <w:tc>
          <w:tcPr>
            <w:tcW w:type="dxa" w:w="1234"/>
          </w:tcPr>
          <w:p>
            <w:r>
              <w:rPr>
                <w:rFonts w:ascii="Calibri" w:hAnsi="Calibri"/>
                <w:sz w:val="22"/>
              </w:rPr>
              <w:t>+$0.335B / +7.4% YoY</w:t>
            </w:r>
          </w:p>
        </w:tc>
        <w:tc>
          <w:tcPr>
            <w:tcW w:type="dxa" w:w="1234"/>
          </w:tcPr>
          <w:p>
            <w:r>
              <w:rPr>
                <w:rFonts w:ascii="Calibri" w:hAnsi="Calibri"/>
                <w:sz w:val="22"/>
              </w:rPr>
              <w:t>N/A (no quarterly revenue guidance)</w:t>
            </w:r>
          </w:p>
        </w:tc>
        <w:tc>
          <w:tcPr>
            <w:tcW w:type="dxa" w:w="1234"/>
          </w:tcPr>
          <w:p>
            <w:r>
              <w:rPr>
                <w:rFonts w:ascii="Calibri" w:hAnsi="Calibri"/>
                <w:sz w:val="22"/>
              </w:rPr>
              <w:t>N/A</w:t>
            </w:r>
          </w:p>
        </w:tc>
      </w:tr>
      <w:tr>
        <w:tc>
          <w:tcPr>
            <w:tcW w:type="dxa" w:w="1234"/>
          </w:tcPr>
          <w:p>
            <w:r>
              <w:rPr>
                <w:rFonts w:ascii="Calibri" w:hAnsi="Calibri"/>
                <w:sz w:val="22"/>
              </w:rPr>
              <w:t>Gross Profit ($B)</w:t>
            </w:r>
          </w:p>
        </w:tc>
        <w:tc>
          <w:tcPr>
            <w:tcW w:type="dxa" w:w="1234"/>
          </w:tcPr>
          <w:p>
            <w:r>
              <w:rPr>
                <w:rFonts w:ascii="Calibri" w:hAnsi="Calibri"/>
                <w:sz w:val="22"/>
              </w:rPr>
              <w:t>$2.347B</w:t>
            </w:r>
          </w:p>
        </w:tc>
        <w:tc>
          <w:tcPr>
            <w:tcW w:type="dxa" w:w="1234"/>
          </w:tcPr>
          <w:p>
            <w:r>
              <w:rPr>
                <w:rFonts w:ascii="Calibri" w:hAnsi="Calibri"/>
                <w:sz w:val="22"/>
              </w:rPr>
              <w:t>$2.327B</w:t>
            </w:r>
          </w:p>
        </w:tc>
        <w:tc>
          <w:tcPr>
            <w:tcW w:type="dxa" w:w="1234"/>
          </w:tcPr>
          <w:p>
            <w:r>
              <w:rPr>
                <w:rFonts w:ascii="Calibri" w:hAnsi="Calibri"/>
                <w:sz w:val="22"/>
              </w:rPr>
              <w:t>$2.506B</w:t>
            </w:r>
          </w:p>
        </w:tc>
        <w:tc>
          <w:tcPr>
            <w:tcW w:type="dxa" w:w="1234"/>
          </w:tcPr>
          <w:p>
            <w:r>
              <w:rPr>
                <w:rFonts w:ascii="Calibri" w:hAnsi="Calibri"/>
                <w:sz w:val="22"/>
              </w:rPr>
              <w:t>+$0.179B / +7.7% YoY</w:t>
            </w:r>
          </w:p>
        </w:tc>
        <w:tc>
          <w:tcPr>
            <w:tcW w:type="dxa" w:w="1234"/>
          </w:tcPr>
          <w:p>
            <w:r>
              <w:rPr>
                <w:rFonts w:ascii="Calibri" w:hAnsi="Calibri"/>
                <w:sz w:val="22"/>
              </w:rPr>
              <w:t>51.5%–52.0% gross margin (mid: 51.75%)</w:t>
            </w:r>
          </w:p>
        </w:tc>
        <w:tc>
          <w:tcPr>
            <w:tcW w:type="dxa" w:w="1234"/>
          </w:tcPr>
          <w:p>
            <w:r>
              <w:rPr>
                <w:rFonts w:ascii="Calibri" w:hAnsi="Calibri"/>
                <w:sz w:val="22"/>
              </w:rPr>
              <w:t>Implied ~51.6% — in line with guidance</w:t>
            </w:r>
          </w:p>
        </w:tc>
      </w:tr>
      <w:tr>
        <w:tc>
          <w:tcPr>
            <w:tcW w:type="dxa" w:w="1234"/>
          </w:tcPr>
          <w:p>
            <w:r>
              <w:rPr>
                <w:rFonts w:ascii="Calibri" w:hAnsi="Calibri"/>
                <w:sz w:val="22"/>
              </w:rPr>
              <w:t>Operating Income ($B)</w:t>
            </w:r>
          </w:p>
        </w:tc>
        <w:tc>
          <w:tcPr>
            <w:tcW w:type="dxa" w:w="1234"/>
          </w:tcPr>
          <w:p>
            <w:r>
              <w:rPr>
                <w:rFonts w:ascii="Calibri" w:hAnsi="Calibri"/>
                <w:sz w:val="22"/>
              </w:rPr>
              <w:t>$0.842B</w:t>
            </w:r>
          </w:p>
        </w:tc>
        <w:tc>
          <w:tcPr>
            <w:tcW w:type="dxa" w:w="1234"/>
          </w:tcPr>
          <w:p>
            <w:r>
              <w:rPr>
                <w:rFonts w:ascii="Calibri" w:hAnsi="Calibri"/>
                <w:sz w:val="22"/>
              </w:rPr>
              <w:t>$0.914B</w:t>
            </w:r>
          </w:p>
        </w:tc>
        <w:tc>
          <w:tcPr>
            <w:tcW w:type="dxa" w:w="1234"/>
          </w:tcPr>
          <w:p>
            <w:r>
              <w:rPr>
                <w:rFonts w:ascii="Calibri" w:hAnsi="Calibri"/>
                <w:sz w:val="22"/>
              </w:rPr>
              <w:t>$0.986B</w:t>
            </w:r>
          </w:p>
        </w:tc>
        <w:tc>
          <w:tcPr>
            <w:tcW w:type="dxa" w:w="1234"/>
          </w:tcPr>
          <w:p>
            <w:r>
              <w:rPr>
                <w:rFonts w:ascii="Calibri" w:hAnsi="Calibri"/>
                <w:sz w:val="22"/>
              </w:rPr>
              <w:t>+$0.072B / +7.8% YoY</w:t>
            </w:r>
          </w:p>
        </w:tc>
        <w:tc>
          <w:tcPr>
            <w:tcW w:type="dxa" w:w="1234"/>
          </w:tcPr>
          <w:p>
            <w:r>
              <w:rPr>
                <w:rFonts w:ascii="Calibri" w:hAnsi="Calibri"/>
                <w:sz w:val="22"/>
              </w:rPr>
              <w:t>19.3%–19.8% op. margin (mid: 19.55%)</w:t>
            </w:r>
          </w:p>
        </w:tc>
        <w:tc>
          <w:tcPr>
            <w:tcW w:type="dxa" w:w="1234"/>
          </w:tcPr>
          <w:p>
            <w:r>
              <w:rPr>
                <w:rFonts w:ascii="Calibri" w:hAnsi="Calibri"/>
                <w:sz w:val="22"/>
              </w:rPr>
              <w:t>Implied ~20.3% — slightly above guidance midpoint</w:t>
            </w:r>
          </w:p>
        </w:tc>
      </w:tr>
      <w:tr>
        <w:tc>
          <w:tcPr>
            <w:tcW w:type="dxa" w:w="1234"/>
          </w:tcPr>
          <w:p>
            <w:r>
              <w:rPr>
                <w:rFonts w:ascii="Calibri" w:hAnsi="Calibri"/>
                <w:sz w:val="22"/>
              </w:rPr>
              <w:t>SG&amp;A ($B)</w:t>
            </w:r>
          </w:p>
        </w:tc>
        <w:tc>
          <w:tcPr>
            <w:tcW w:type="dxa" w:w="1234"/>
          </w:tcPr>
          <w:p>
            <w:r>
              <w:rPr>
                <w:rFonts w:ascii="Calibri" w:hAnsi="Calibri"/>
                <w:sz w:val="22"/>
              </w:rPr>
              <w:t>$1.506B</w:t>
            </w:r>
          </w:p>
        </w:tc>
        <w:tc>
          <w:tcPr>
            <w:tcW w:type="dxa" w:w="1234"/>
          </w:tcPr>
          <w:p>
            <w:r>
              <w:rPr>
                <w:rFonts w:ascii="Calibri" w:hAnsi="Calibri"/>
                <w:sz w:val="22"/>
              </w:rPr>
              <w:t>$1.412B</w:t>
            </w:r>
          </w:p>
        </w:tc>
        <w:tc>
          <w:tcPr>
            <w:tcW w:type="dxa" w:w="1234"/>
          </w:tcPr>
          <w:p>
            <w:r>
              <w:rPr>
                <w:rFonts w:ascii="Calibri" w:hAnsi="Calibri"/>
                <w:sz w:val="22"/>
              </w:rPr>
              <w:t>$1.520B</w:t>
            </w:r>
          </w:p>
        </w:tc>
        <w:tc>
          <w:tcPr>
            <w:tcW w:type="dxa" w:w="1234"/>
          </w:tcPr>
          <w:p>
            <w:r>
              <w:rPr>
                <w:rFonts w:ascii="Calibri" w:hAnsi="Calibri"/>
                <w:sz w:val="22"/>
              </w:rPr>
              <w:t>+$0.108B / +7.6% YoY</w:t>
            </w:r>
          </w:p>
        </w:tc>
        <w:tc>
          <w:tcPr>
            <w:tcW w:type="dxa" w:w="1234"/>
          </w:tcPr>
          <w:p>
            <w:r>
              <w:rPr>
                <w:rFonts w:ascii="Calibri" w:hAnsi="Calibri"/>
                <w:sz w:val="22"/>
              </w:rPr>
              <w:t>SG&amp;A/store growth ~3%–4% FY</w:t>
            </w:r>
          </w:p>
        </w:tc>
        <w:tc>
          <w:tcPr>
            <w:tcW w:type="dxa" w:w="1234"/>
          </w:tcPr>
          <w:p>
            <w:r>
              <w:rPr>
                <w:rFonts w:ascii="Calibri" w:hAnsi="Calibri"/>
                <w:sz w:val="22"/>
              </w:rPr>
              <w:t>Moderating from Q1’s 5.5% per-store growth</w:t>
            </w:r>
          </w:p>
        </w:tc>
      </w:tr>
    </w:tbl>
    <w:p>
      <w:r>
        <w:rPr>
          <w:rFonts w:ascii="Calibri" w:hAnsi="Calibri"/>
          <w:i/>
          <w:color w:val="525866"/>
          <w:sz w:val="22"/>
        </w:rPr>
        <w:t>Source: Visible Alpha Consensus and Actuals Data. All consensus figures as of July 28, 2026. Q1 2026 actuals are the most recently reported figures. Q2 2025 actuals are the prior-year comparable period.</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Comparable Store Sales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2.3%</w:t>
            </w:r>
          </w:p>
        </w:tc>
        <w:tc>
          <w:tcPr>
            <w:tcW w:type="dxa" w:w="1728"/>
          </w:tcPr>
          <w:p>
            <w:r>
              <w:rPr>
                <w:rFonts w:ascii="Calibri" w:hAnsi="Calibri"/>
                <w:sz w:val="22"/>
              </w:rPr>
              <w:t>3.36%</w:t>
            </w:r>
          </w:p>
        </w:tc>
        <w:tc>
          <w:tcPr>
            <w:tcW w:type="dxa" w:w="1728"/>
          </w:tcPr>
          <w:p>
            <w:r>
              <w:rPr>
                <w:rFonts w:ascii="Calibri" w:hAnsi="Calibri"/>
                <w:sz w:val="22"/>
              </w:rPr>
              <w:t>-106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1.5%</w:t>
            </w:r>
          </w:p>
        </w:tc>
        <w:tc>
          <w:tcPr>
            <w:tcW w:type="dxa" w:w="1728"/>
          </w:tcPr>
          <w:p>
            <w:r>
              <w:rPr>
                <w:rFonts w:ascii="Calibri" w:hAnsi="Calibri"/>
                <w:sz w:val="22"/>
              </w:rPr>
              <w:t>2.56%</w:t>
            </w:r>
          </w:p>
        </w:tc>
        <w:tc>
          <w:tcPr>
            <w:tcW w:type="dxa" w:w="1728"/>
          </w:tcPr>
          <w:p>
            <w:r>
              <w:rPr>
                <w:rFonts w:ascii="Calibri" w:hAnsi="Calibri"/>
                <w:sz w:val="22"/>
              </w:rPr>
              <w:t>-106 bps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4.4%</w:t>
            </w:r>
          </w:p>
        </w:tc>
        <w:tc>
          <w:tcPr>
            <w:tcW w:type="dxa" w:w="1728"/>
          </w:tcPr>
          <w:p>
            <w:r>
              <w:rPr>
                <w:rFonts w:ascii="Calibri" w:hAnsi="Calibri"/>
                <w:sz w:val="22"/>
              </w:rPr>
              <w:t>2.84%</w:t>
            </w:r>
          </w:p>
        </w:tc>
        <w:tc>
          <w:tcPr>
            <w:tcW w:type="dxa" w:w="1728"/>
          </w:tcPr>
          <w:p>
            <w:r>
              <w:rPr>
                <w:rFonts w:ascii="Calibri" w:hAnsi="Calibri"/>
                <w:sz w:val="22"/>
              </w:rPr>
              <w:t>+156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3.6%</w:t>
            </w:r>
          </w:p>
        </w:tc>
        <w:tc>
          <w:tcPr>
            <w:tcW w:type="dxa" w:w="1728"/>
          </w:tcPr>
          <w:p>
            <w:r>
              <w:rPr>
                <w:rFonts w:ascii="Calibri" w:hAnsi="Calibri"/>
                <w:sz w:val="22"/>
              </w:rPr>
              <w:t>2.87%</w:t>
            </w:r>
          </w:p>
        </w:tc>
        <w:tc>
          <w:tcPr>
            <w:tcW w:type="dxa" w:w="1728"/>
          </w:tcPr>
          <w:p>
            <w:r>
              <w:rPr>
                <w:rFonts w:ascii="Calibri" w:hAnsi="Calibri"/>
                <w:sz w:val="22"/>
              </w:rPr>
              <w:t>+73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4.1%</w:t>
            </w:r>
          </w:p>
        </w:tc>
        <w:tc>
          <w:tcPr>
            <w:tcW w:type="dxa" w:w="1728"/>
          </w:tcPr>
          <w:p>
            <w:r>
              <w:rPr>
                <w:rFonts w:ascii="Calibri" w:hAnsi="Calibri"/>
                <w:sz w:val="22"/>
              </w:rPr>
              <w:t>3.74%</w:t>
            </w:r>
          </w:p>
        </w:tc>
        <w:tc>
          <w:tcPr>
            <w:tcW w:type="dxa" w:w="1728"/>
          </w:tcPr>
          <w:p>
            <w:r>
              <w:rPr>
                <w:rFonts w:ascii="Calibri" w:hAnsi="Calibri"/>
                <w:sz w:val="22"/>
              </w:rPr>
              <w:t>+36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5.6%</w:t>
            </w:r>
          </w:p>
        </w:tc>
        <w:tc>
          <w:tcPr>
            <w:tcW w:type="dxa" w:w="1728"/>
          </w:tcPr>
          <w:p>
            <w:r>
              <w:rPr>
                <w:rFonts w:ascii="Calibri" w:hAnsi="Calibri"/>
                <w:sz w:val="22"/>
              </w:rPr>
              <w:t>4.74%</w:t>
            </w:r>
          </w:p>
        </w:tc>
        <w:tc>
          <w:tcPr>
            <w:tcW w:type="dxa" w:w="1728"/>
          </w:tcPr>
          <w:p>
            <w:r>
              <w:rPr>
                <w:rFonts w:ascii="Calibri" w:hAnsi="Calibri"/>
                <w:sz w:val="22"/>
              </w:rPr>
              <w:t>+86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5.6%</w:t>
            </w:r>
          </w:p>
        </w:tc>
        <w:tc>
          <w:tcPr>
            <w:tcW w:type="dxa" w:w="1728"/>
          </w:tcPr>
          <w:p>
            <w:r>
              <w:rPr>
                <w:rFonts w:ascii="Calibri" w:hAnsi="Calibri"/>
                <w:sz w:val="22"/>
              </w:rPr>
              <w:t>5.04%</w:t>
            </w:r>
          </w:p>
        </w:tc>
        <w:tc>
          <w:tcPr>
            <w:tcW w:type="dxa" w:w="1728"/>
          </w:tcPr>
          <w:p>
            <w:r>
              <w:rPr>
                <w:rFonts w:ascii="Calibri" w:hAnsi="Calibri"/>
                <w:sz w:val="22"/>
              </w:rPr>
              <w:t>+56 bps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8.1%</w:t>
            </w:r>
          </w:p>
        </w:tc>
        <w:tc>
          <w:tcPr>
            <w:tcW w:type="dxa" w:w="1728"/>
          </w:tcPr>
          <w:p>
            <w:r>
              <w:rPr>
                <w:rFonts w:ascii="Calibri" w:hAnsi="Calibri"/>
                <w:sz w:val="22"/>
              </w:rPr>
              <w:t>5.39%</w:t>
            </w:r>
          </w:p>
        </w:tc>
        <w:tc>
          <w:tcPr>
            <w:tcW w:type="dxa" w:w="1728"/>
          </w:tcPr>
          <w:p>
            <w:r>
              <w:rPr>
                <w:rFonts w:ascii="Calibri" w:hAnsi="Calibri"/>
                <w:sz w:val="22"/>
              </w:rPr>
              <w:t>+271 bps</w:t>
            </w:r>
          </w:p>
        </w:tc>
        <w:tc>
          <w:tcPr>
            <w:tcW w:type="dxa" w:w="1728"/>
          </w:tcPr>
          <w:p>
            <w:r>
              <w:rPr>
                <w:rFonts w:ascii="Calibri" w:hAnsi="Calibri"/>
                <w:b/>
                <w:color w:val="30A46C"/>
                <w:sz w:val="22"/>
              </w:rPr>
              <w:t>BEAT</w:t>
            </w:r>
          </w:p>
        </w:tc>
      </w:tr>
    </w:tbl>
    <w:p>
      <w:pPr>
        <w:pStyle w:val="Heading3"/>
      </w:pPr>
      <w:r>
        <w:rPr>
          <w:rFonts w:ascii="Calibri" w:hAnsi="Calibri"/>
          <w:b/>
          <w:color w:val="3B4259"/>
          <w:sz w:val="24"/>
        </w:rPr>
        <w:t>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$0.703</w:t>
            </w:r>
          </w:p>
        </w:tc>
        <w:tc>
          <w:tcPr>
            <w:tcW w:type="dxa" w:w="1728"/>
          </w:tcPr>
          <w:p>
            <w:r>
              <w:rPr>
                <w:rFonts w:ascii="Calibri" w:hAnsi="Calibri"/>
                <w:sz w:val="22"/>
              </w:rPr>
              <w:t>$0.732</w:t>
            </w:r>
          </w:p>
        </w:tc>
        <w:tc>
          <w:tcPr>
            <w:tcW w:type="dxa" w:w="1728"/>
          </w:tcPr>
          <w:p>
            <w:r>
              <w:rPr>
                <w:rFonts w:ascii="Calibri" w:hAnsi="Calibri"/>
                <w:sz w:val="22"/>
              </w:rPr>
              <w:t>-4.0%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$0.761</w:t>
            </w:r>
          </w:p>
        </w:tc>
        <w:tc>
          <w:tcPr>
            <w:tcW w:type="dxa" w:w="1728"/>
          </w:tcPr>
          <w:p>
            <w:r>
              <w:rPr>
                <w:rFonts w:ascii="Calibri" w:hAnsi="Calibri"/>
                <w:sz w:val="22"/>
              </w:rPr>
              <w:t>$0.765</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$0.634</w:t>
            </w:r>
          </w:p>
        </w:tc>
        <w:tc>
          <w:tcPr>
            <w:tcW w:type="dxa" w:w="1728"/>
          </w:tcPr>
          <w:p>
            <w:r>
              <w:rPr>
                <w:rFonts w:ascii="Calibri" w:hAnsi="Calibri"/>
                <w:sz w:val="22"/>
              </w:rPr>
              <w:t>$0.650</w:t>
            </w:r>
          </w:p>
        </w:tc>
        <w:tc>
          <w:tcPr>
            <w:tcW w:type="dxa" w:w="1728"/>
          </w:tcPr>
          <w:p>
            <w:r>
              <w:rPr>
                <w:rFonts w:ascii="Calibri" w:hAnsi="Calibri"/>
                <w:sz w:val="22"/>
              </w:rPr>
              <w:t>-2.5%</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$0.623</w:t>
            </w:r>
          </w:p>
        </w:tc>
        <w:tc>
          <w:tcPr>
            <w:tcW w:type="dxa" w:w="1728"/>
          </w:tcPr>
          <w:p>
            <w:r>
              <w:rPr>
                <w:rFonts w:ascii="Calibri" w:hAnsi="Calibri"/>
                <w:sz w:val="22"/>
              </w:rPr>
              <w:t>$0.655</w:t>
            </w:r>
          </w:p>
        </w:tc>
        <w:tc>
          <w:tcPr>
            <w:tcW w:type="dxa" w:w="1728"/>
          </w:tcPr>
          <w:p>
            <w:r>
              <w:rPr>
                <w:rFonts w:ascii="Calibri" w:hAnsi="Calibri"/>
                <w:sz w:val="22"/>
              </w:rPr>
              <w:t>-4.9%</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$0.779</w:t>
            </w:r>
          </w:p>
        </w:tc>
        <w:tc>
          <w:tcPr>
            <w:tcW w:type="dxa" w:w="1728"/>
          </w:tcPr>
          <w:p>
            <w:r>
              <w:rPr>
                <w:rFonts w:ascii="Calibri" w:hAnsi="Calibri"/>
                <w:sz w:val="22"/>
              </w:rPr>
              <w:t>$0.778</w:t>
            </w:r>
          </w:p>
        </w:tc>
        <w:tc>
          <w:tcPr>
            <w:tcW w:type="dxa" w:w="1728"/>
          </w:tcPr>
          <w:p>
            <w:r>
              <w:rPr>
                <w:rFonts w:ascii="Calibri" w:hAnsi="Calibri"/>
                <w:sz w:val="22"/>
              </w:rPr>
              <w:t>+0.1%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$0.851</w:t>
            </w:r>
          </w:p>
        </w:tc>
        <w:tc>
          <w:tcPr>
            <w:tcW w:type="dxa" w:w="1728"/>
          </w:tcPr>
          <w:p>
            <w:r>
              <w:rPr>
                <w:rFonts w:ascii="Calibri" w:hAnsi="Calibri"/>
                <w:sz w:val="22"/>
              </w:rPr>
              <w:t>$0.832</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$0.713</w:t>
            </w:r>
          </w:p>
        </w:tc>
        <w:tc>
          <w:tcPr>
            <w:tcW w:type="dxa" w:w="1728"/>
          </w:tcPr>
          <w:p>
            <w:r>
              <w:rPr>
                <w:rFonts w:ascii="Calibri" w:hAnsi="Calibri"/>
                <w:sz w:val="22"/>
              </w:rPr>
              <w:t>$0.732</w:t>
            </w:r>
          </w:p>
        </w:tc>
        <w:tc>
          <w:tcPr>
            <w:tcW w:type="dxa" w:w="1728"/>
          </w:tcPr>
          <w:p>
            <w:r>
              <w:rPr>
                <w:rFonts w:ascii="Calibri" w:hAnsi="Calibri"/>
                <w:sz w:val="22"/>
              </w:rPr>
              <w:t>-2.6%</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$0.717</w:t>
            </w:r>
          </w:p>
        </w:tc>
        <w:tc>
          <w:tcPr>
            <w:tcW w:type="dxa" w:w="1728"/>
          </w:tcPr>
          <w:p>
            <w:r>
              <w:rPr>
                <w:rFonts w:ascii="Calibri" w:hAnsi="Calibri"/>
                <w:sz w:val="22"/>
              </w:rPr>
              <w:t>$0.695</w:t>
            </w:r>
          </w:p>
        </w:tc>
        <w:tc>
          <w:tcPr>
            <w:tcW w:type="dxa" w:w="1728"/>
          </w:tcPr>
          <w:p>
            <w:r>
              <w:rPr>
                <w:rFonts w:ascii="Calibri" w:hAnsi="Calibri"/>
                <w:sz w:val="22"/>
              </w:rPr>
              <w:t>+3.2%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Comparable store sales has beaten consensus in 6 of the last 8 quarters, with the two misses concentrated in mid-2024 when the consumer was most pressured. The beat streak since Q4 2024 has been consistent and accelerating. EPS has been more mixed — 4 misses in the prior 5 quarters before Q1 2026 — reflecting persistent SG&amp;A cost pressures that have weighed on operating leverage even when comps beat. The Q1 2026 EPS beat was the first clean beat in several quarters, driven by the comp outperformance flowing through.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FY 2026 EPS guidance and operating margin guidance by 10 bps on the Q1 call, while holding comp and gross margin guidance unchanged. No post-earnings guidance revisions have been issued; tone remains cautiously optimistic with April described as "running well, strong, better than maybe we would have expected."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Comparable Store Sales (FY 2026)</w:t>
            </w:r>
          </w:p>
        </w:tc>
        <w:tc>
          <w:tcPr>
            <w:tcW w:type="dxa" w:w="1728"/>
          </w:tcPr>
          <w:p>
            <w:r>
              <w:rPr>
                <w:rFonts w:ascii="Calibri" w:hAnsi="Calibri"/>
                <w:sz w:val="22"/>
              </w:rPr>
              <w:t>3%–5% (maintained; results pushed to top half)</w:t>
            </w:r>
          </w:p>
        </w:tc>
        <w:tc>
          <w:tcPr>
            <w:tcW w:type="dxa" w:w="1728"/>
          </w:tcPr>
          <w:p>
            <w:r>
              <w:rPr>
                <w:rFonts w:ascii="Calibri" w:hAnsi="Calibri"/>
                <w:sz w:val="22"/>
              </w:rPr>
              <w:t>—</w:t>
            </w:r>
          </w:p>
        </w:tc>
        <w:tc>
          <w:tcPr>
            <w:tcW w:type="dxa" w:w="1728"/>
          </w:tcPr>
          <w:p>
            <w:r>
              <w:rPr>
                <w:rFonts w:ascii="Calibri" w:hAnsi="Calibri"/>
                <w:sz w:val="22"/>
              </w:rPr>
              <w:t>5.05% (FY consensus)</w:t>
            </w:r>
          </w:p>
        </w:tc>
        <w:tc>
          <w:tcPr>
            <w:tcW w:type="dxa" w:w="1728"/>
          </w:tcPr>
          <w:p>
            <w:r>
              <w:rPr>
                <w:rFonts w:ascii="Calibri" w:hAnsi="Calibri"/>
                <w:sz w:val="22"/>
              </w:rPr>
              <w:t>Unchanged; management noted Q1 strength pushes toward top half of range. Consensus sits above midpoint.</w:t>
            </w:r>
          </w:p>
        </w:tc>
      </w:tr>
      <w:tr>
        <w:tc>
          <w:tcPr>
            <w:tcW w:type="dxa" w:w="1728"/>
          </w:tcPr>
          <w:p>
            <w:r>
              <w:rPr>
                <w:rFonts w:ascii="Calibri" w:hAnsi="Calibri"/>
                <w:sz w:val="22"/>
              </w:rPr>
              <w:t>Diluted EPS — Operating (FY 2026)</w:t>
            </w:r>
          </w:p>
        </w:tc>
        <w:tc>
          <w:tcPr>
            <w:tcW w:type="dxa" w:w="1728"/>
          </w:tcPr>
          <w:p>
            <w:r>
              <w:rPr>
                <w:rFonts w:ascii="Calibri" w:hAnsi="Calibri"/>
                <w:sz w:val="22"/>
              </w:rPr>
              <w:t>$3.15–$3.25 (raised from prior range; driven by Q1 beat and share repurchases)</w:t>
            </w:r>
          </w:p>
        </w:tc>
        <w:tc>
          <w:tcPr>
            <w:tcW w:type="dxa" w:w="1728"/>
          </w:tcPr>
          <w:p>
            <w:r>
              <w:rPr>
                <w:rFonts w:ascii="Calibri" w:hAnsi="Calibri"/>
                <w:sz w:val="22"/>
              </w:rPr>
              <w:t>—</w:t>
            </w:r>
          </w:p>
        </w:tc>
        <w:tc>
          <w:tcPr>
            <w:tcW w:type="dxa" w:w="1728"/>
          </w:tcPr>
          <w:p>
            <w:r>
              <w:rPr>
                <w:rFonts w:ascii="Calibri" w:hAnsi="Calibri"/>
                <w:sz w:val="22"/>
              </w:rPr>
              <w:t>$3.272</w:t>
            </w:r>
          </w:p>
        </w:tc>
        <w:tc>
          <w:tcPr>
            <w:tcW w:type="dxa" w:w="1728"/>
          </w:tcPr>
          <w:p>
            <w:r>
              <w:rPr>
                <w:rFonts w:ascii="Calibri" w:hAnsi="Calibri"/>
                <w:sz w:val="22"/>
              </w:rPr>
              <w:t>Consensus $3.272 sits ~2.3% above guidance midpoint of $3.20. No post-earnings revision.</w:t>
            </w:r>
          </w:p>
        </w:tc>
      </w:tr>
      <w:tr>
        <w:tc>
          <w:tcPr>
            <w:tcW w:type="dxa" w:w="1728"/>
          </w:tcPr>
          <w:p>
            <w:r>
              <w:rPr>
                <w:rFonts w:ascii="Calibri" w:hAnsi="Calibri"/>
                <w:sz w:val="22"/>
              </w:rPr>
              <w:t>Gross Margin (FY 2026)</w:t>
            </w:r>
          </w:p>
        </w:tc>
        <w:tc>
          <w:tcPr>
            <w:tcW w:type="dxa" w:w="1728"/>
          </w:tcPr>
          <w:p>
            <w:r>
              <w:rPr>
                <w:rFonts w:ascii="Calibri" w:hAnsi="Calibri"/>
                <w:sz w:val="22"/>
              </w:rPr>
              <w:t>51.5%–52.0% (maintained)</w:t>
            </w:r>
          </w:p>
        </w:tc>
        <w:tc>
          <w:tcPr>
            <w:tcW w:type="dxa" w:w="1728"/>
          </w:tcPr>
          <w:p>
            <w:r>
              <w:rPr>
                <w:rFonts w:ascii="Calibri" w:hAnsi="Calibri"/>
                <w:sz w:val="22"/>
              </w:rPr>
              <w:t>—</w:t>
            </w:r>
          </w:p>
        </w:tc>
        <w:tc>
          <w:tcPr>
            <w:tcW w:type="dxa" w:w="1728"/>
          </w:tcPr>
          <w:p>
            <w:r>
              <w:rPr>
                <w:rFonts w:ascii="Calibri" w:hAnsi="Calibri"/>
                <w:sz w:val="22"/>
              </w:rPr>
              <w:t>~51.6% implied by consensus</w:t>
            </w:r>
          </w:p>
        </w:tc>
        <w:tc>
          <w:tcPr>
            <w:tcW w:type="dxa" w:w="1728"/>
          </w:tcPr>
          <w:p>
            <w:r>
              <w:rPr>
                <w:rFonts w:ascii="Calibri" w:hAnsi="Calibri"/>
                <w:sz w:val="22"/>
              </w:rPr>
              <w:t>Unchanged. Management confident in managing tariff and freight dynamics within range. Iran/oil risk flagged but not incorporated.</w:t>
            </w:r>
          </w:p>
        </w:tc>
      </w:tr>
      <w:tr>
        <w:tc>
          <w:tcPr>
            <w:tcW w:type="dxa" w:w="1728"/>
          </w:tcPr>
          <w:p>
            <w:r>
              <w:rPr>
                <w:rFonts w:ascii="Calibri" w:hAnsi="Calibri"/>
                <w:sz w:val="22"/>
              </w:rPr>
              <w:t>Operating Margin (FY 2026)</w:t>
            </w:r>
          </w:p>
        </w:tc>
        <w:tc>
          <w:tcPr>
            <w:tcW w:type="dxa" w:w="1728"/>
          </w:tcPr>
          <w:p>
            <w:r>
              <w:rPr>
                <w:rFonts w:ascii="Calibri" w:hAnsi="Calibri"/>
                <w:sz w:val="22"/>
              </w:rPr>
              <w:t>19.3%–19.8% (↑ raised 10 bps from prior range)</w:t>
            </w:r>
          </w:p>
        </w:tc>
        <w:tc>
          <w:tcPr>
            <w:tcW w:type="dxa" w:w="1728"/>
          </w:tcPr>
          <w:p>
            <w:r>
              <w:rPr>
                <w:rFonts w:ascii="Calibri" w:hAnsi="Calibri"/>
                <w:sz w:val="22"/>
              </w:rPr>
              <w:t>—</w:t>
            </w:r>
          </w:p>
        </w:tc>
        <w:tc>
          <w:tcPr>
            <w:tcW w:type="dxa" w:w="1728"/>
          </w:tcPr>
          <w:p>
            <w:r>
              <w:rPr>
                <w:rFonts w:ascii="Calibri" w:hAnsi="Calibri"/>
                <w:sz w:val="22"/>
              </w:rPr>
              <w:t>~20.3% implied by consensus</w:t>
            </w:r>
          </w:p>
        </w:tc>
        <w:tc>
          <w:tcPr>
            <w:tcW w:type="dxa" w:w="1728"/>
          </w:tcPr>
          <w:p>
            <w:r>
              <w:rPr>
                <w:rFonts w:ascii="Calibri" w:hAnsi="Calibri"/>
                <w:sz w:val="22"/>
              </w:rPr>
              <w:t>↑ Raised 10 bps at Q1 earnings; reflects Q1 flow-through. Consensus sits above guidance midpoint.</w:t>
            </w:r>
          </w:p>
        </w:tc>
      </w:tr>
      <w:tr>
        <w:tc>
          <w:tcPr>
            <w:tcW w:type="dxa" w:w="1728"/>
          </w:tcPr>
          <w:p>
            <w:r>
              <w:rPr>
                <w:rFonts w:ascii="Calibri" w:hAnsi="Calibri"/>
                <w:sz w:val="22"/>
              </w:rPr>
              <w:t>SG&amp;A per Store Growth (FY 2026)</w:t>
            </w:r>
          </w:p>
        </w:tc>
        <w:tc>
          <w:tcPr>
            <w:tcW w:type="dxa" w:w="1728"/>
          </w:tcPr>
          <w:p>
            <w:r>
              <w:rPr>
                <w:rFonts w:ascii="Calibri" w:hAnsi="Calibri"/>
                <w:sz w:val="22"/>
              </w:rPr>
              <w:t>~3%–4% (maintained)</w:t>
            </w:r>
          </w:p>
        </w:tc>
        <w:tc>
          <w:tcPr>
            <w:tcW w:type="dxa" w:w="1728"/>
          </w:tcPr>
          <w:p>
            <w:r>
              <w:rPr>
                <w:rFonts w:ascii="Calibri" w:hAnsi="Calibri"/>
                <w:sz w:val="22"/>
              </w:rPr>
              <w:t>—</w:t>
            </w:r>
          </w:p>
        </w:tc>
        <w:tc>
          <w:tcPr>
            <w:tcW w:type="dxa" w:w="1728"/>
          </w:tcPr>
          <w:p>
            <w:r>
              <w:rPr>
                <w:rFonts w:ascii="Calibri" w:hAnsi="Calibri"/>
                <w:sz w:val="22"/>
              </w:rPr>
              <w:t>N/A — not tracked as standalone consensus KPI</w:t>
            </w:r>
          </w:p>
        </w:tc>
        <w:tc>
          <w:tcPr>
            <w:tcW w:type="dxa" w:w="1728"/>
          </w:tcPr>
          <w:p>
            <w:r>
              <w:rPr>
                <w:rFonts w:ascii="Calibri" w:hAnsi="Calibri"/>
                <w:sz w:val="22"/>
              </w:rPr>
              <w:t>Q1 ran at 5.5% (high end of expectations); expected to moderate meaningfully as year progresses vs. 2025 SG&amp;A ramp.</w:t>
            </w:r>
          </w:p>
        </w:tc>
      </w:tr>
      <w:tr>
        <w:tc>
          <w:tcPr>
            <w:tcW w:type="dxa" w:w="1728"/>
          </w:tcPr>
          <w:p>
            <w:r>
              <w:rPr>
                <w:rFonts w:ascii="Calibri" w:hAnsi="Calibri"/>
                <w:sz w:val="22"/>
              </w:rPr>
              <w:t>New Store Openings (FY 2026)</w:t>
            </w:r>
          </w:p>
        </w:tc>
        <w:tc>
          <w:tcPr>
            <w:tcW w:type="dxa" w:w="1728"/>
          </w:tcPr>
          <w:p>
            <w:r>
              <w:rPr>
                <w:rFonts w:ascii="Calibri" w:hAnsi="Calibri"/>
                <w:sz w:val="22"/>
              </w:rPr>
              <w:t>225–235 stores (raised from 200–210 in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Accelerated expansion; Virginia DC unlocking Northeast corridor. Fort Worth DC on track for 2028.</w:t>
            </w:r>
          </w:p>
        </w:tc>
      </w:tr>
    </w:tbl>
    <w:p>
      <w:r>
        <w:rPr>
          <w:rFonts w:ascii="Calibri" w:hAnsi="Calibri"/>
          <w:color w:val="525866"/>
          <w:sz w:val="22"/>
        </w:rPr>
        <w:t>Source: O'Reilly Automotive Q1 2026 Earnings Call Transcript (April 29–30,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print — Q2 EPS consensus moved only +$0.002 and Q2 comp consensus moved +7 bps since the post-Q1 baseline — suggesting the Street has not aggressively revised up despite the strong Q1 beat. This creates a modest cushion if Q2 trends are solid, but also means there is limited downside protection if the June deceleration (flagged by AZO) was more pronounced for ORLY.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Comp Store Sales — Q2 2026</w:t>
            </w:r>
          </w:p>
        </w:tc>
        <w:tc>
          <w:tcPr>
            <w:tcW w:type="dxa" w:w="1080"/>
          </w:tcPr>
          <w:p>
            <w:r>
              <w:rPr>
                <w:rFonts w:ascii="Calibri" w:hAnsi="Calibri"/>
                <w:sz w:val="22"/>
              </w:rPr>
              <w:t>5.12%</w:t>
            </w:r>
          </w:p>
        </w:tc>
        <w:tc>
          <w:tcPr>
            <w:tcW w:type="dxa" w:w="1080"/>
          </w:tcPr>
          <w:p>
            <w:r>
              <w:rPr>
                <w:rFonts w:ascii="Calibri" w:hAnsi="Calibri"/>
                <w:sz w:val="22"/>
              </w:rPr>
              <w:t>5.19%</w:t>
            </w:r>
          </w:p>
        </w:tc>
        <w:tc>
          <w:tcPr>
            <w:tcW w:type="dxa" w:w="1080"/>
          </w:tcPr>
          <w:p>
            <w:r>
              <w:rPr>
                <w:rFonts w:ascii="Calibri" w:hAnsi="Calibri"/>
                <w:sz w:val="22"/>
              </w:rPr>
              <w:t>+7 bps / +1.4%</w:t>
            </w:r>
          </w:p>
        </w:tc>
        <w:tc>
          <w:tcPr>
            <w:tcW w:type="dxa" w:w="1080"/>
          </w:tcPr>
          <w:p>
            <w:r>
              <w:rPr>
                <w:rFonts w:ascii="Calibri" w:hAnsi="Calibri"/>
                <w:sz w:val="22"/>
              </w:rPr>
              <w:t>3%–5% FY (top half)</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+119 bps above FY midpoint (4.0%)</w:t>
            </w:r>
          </w:p>
        </w:tc>
      </w:tr>
      <w:tr>
        <w:tc>
          <w:tcPr>
            <w:tcW w:type="dxa" w:w="1080"/>
          </w:tcPr>
          <w:p>
            <w:r>
              <w:rPr>
                <w:rFonts w:ascii="Calibri" w:hAnsi="Calibri"/>
                <w:sz w:val="22"/>
              </w:rPr>
              <w:t>EPS Diluted Operating — Q2 2026</w:t>
            </w:r>
          </w:p>
        </w:tc>
        <w:tc>
          <w:tcPr>
            <w:tcW w:type="dxa" w:w="1080"/>
          </w:tcPr>
          <w:p>
            <w:r>
              <w:rPr>
                <w:rFonts w:ascii="Calibri" w:hAnsi="Calibri"/>
                <w:sz w:val="22"/>
              </w:rPr>
              <w:t>$0.863</w:t>
            </w:r>
          </w:p>
        </w:tc>
        <w:tc>
          <w:tcPr>
            <w:tcW w:type="dxa" w:w="1080"/>
          </w:tcPr>
          <w:p>
            <w:r>
              <w:rPr>
                <w:rFonts w:ascii="Calibri" w:hAnsi="Calibri"/>
                <w:sz w:val="22"/>
              </w:rPr>
              <w:t>$0.865</w:t>
            </w:r>
          </w:p>
        </w:tc>
        <w:tc>
          <w:tcPr>
            <w:tcW w:type="dxa" w:w="1080"/>
          </w:tcPr>
          <w:p>
            <w:r>
              <w:rPr>
                <w:rFonts w:ascii="Calibri" w:hAnsi="Calibri"/>
                <w:sz w:val="22"/>
              </w:rPr>
              <w:t>+$0.002 / +0.2%</w:t>
            </w:r>
          </w:p>
        </w:tc>
        <w:tc>
          <w:tcPr>
            <w:tcW w:type="dxa" w:w="1080"/>
          </w:tcPr>
          <w:p>
            <w:r>
              <w:rPr>
                <w:rFonts w:ascii="Calibri" w:hAnsi="Calibri"/>
                <w:sz w:val="22"/>
              </w:rPr>
              <w:t>FY $3.15–$3.25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FY consensus $3.272 vs. mid $3.20 (+2.3%)</w:t>
            </w:r>
          </w:p>
        </w:tc>
      </w:tr>
      <w:tr>
        <w:tc>
          <w:tcPr>
            <w:tcW w:type="dxa" w:w="1080"/>
          </w:tcPr>
          <w:p>
            <w:r>
              <w:rPr>
                <w:rFonts w:ascii="Calibri" w:hAnsi="Calibri"/>
                <w:sz w:val="22"/>
              </w:rPr>
              <w:t>Comp Store Sales — FY 2026</w:t>
            </w:r>
          </w:p>
        </w:tc>
        <w:tc>
          <w:tcPr>
            <w:tcW w:type="dxa" w:w="1080"/>
          </w:tcPr>
          <w:p>
            <w:r>
              <w:rPr>
                <w:rFonts w:ascii="Calibri" w:hAnsi="Calibri"/>
                <w:sz w:val="22"/>
              </w:rPr>
              <w:t>4.97%</w:t>
            </w:r>
          </w:p>
        </w:tc>
        <w:tc>
          <w:tcPr>
            <w:tcW w:type="dxa" w:w="1080"/>
          </w:tcPr>
          <w:p>
            <w:r>
              <w:rPr>
                <w:rFonts w:ascii="Calibri" w:hAnsi="Calibri"/>
                <w:sz w:val="22"/>
              </w:rPr>
              <w:t>5.05%</w:t>
            </w:r>
          </w:p>
        </w:tc>
        <w:tc>
          <w:tcPr>
            <w:tcW w:type="dxa" w:w="1080"/>
          </w:tcPr>
          <w:p>
            <w:r>
              <w:rPr>
                <w:rFonts w:ascii="Calibri" w:hAnsi="Calibri"/>
                <w:sz w:val="22"/>
              </w:rPr>
              <w:t>+8 bps / +1.6%</w:t>
            </w:r>
          </w:p>
        </w:tc>
        <w:tc>
          <w:tcPr>
            <w:tcW w:type="dxa" w:w="1080"/>
          </w:tcPr>
          <w:p>
            <w:r>
              <w:rPr>
                <w:rFonts w:ascii="Calibri" w:hAnsi="Calibri"/>
                <w:sz w:val="22"/>
              </w:rPr>
              <w:t>3%–5%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+105 bps above midpoint</w:t>
            </w:r>
          </w:p>
        </w:tc>
      </w:tr>
      <w:tr>
        <w:tc>
          <w:tcPr>
            <w:tcW w:type="dxa" w:w="1080"/>
          </w:tcPr>
          <w:p>
            <w:r>
              <w:rPr>
                <w:rFonts w:ascii="Calibri" w:hAnsi="Calibri"/>
                <w:sz w:val="22"/>
              </w:rPr>
              <w:t>EPS Diluted Operating — FY 2026</w:t>
            </w:r>
          </w:p>
        </w:tc>
        <w:tc>
          <w:tcPr>
            <w:tcW w:type="dxa" w:w="1080"/>
          </w:tcPr>
          <w:p>
            <w:r>
              <w:rPr>
                <w:rFonts w:ascii="Calibri" w:hAnsi="Calibri"/>
                <w:sz w:val="22"/>
              </w:rPr>
              <w:t>$3.263</w:t>
            </w:r>
          </w:p>
        </w:tc>
        <w:tc>
          <w:tcPr>
            <w:tcW w:type="dxa" w:w="1080"/>
          </w:tcPr>
          <w:p>
            <w:r>
              <w:rPr>
                <w:rFonts w:ascii="Calibri" w:hAnsi="Calibri"/>
                <w:sz w:val="22"/>
              </w:rPr>
              <w:t>$3.272</w:t>
            </w:r>
          </w:p>
        </w:tc>
        <w:tc>
          <w:tcPr>
            <w:tcW w:type="dxa" w:w="1080"/>
          </w:tcPr>
          <w:p>
            <w:r>
              <w:rPr>
                <w:rFonts w:ascii="Calibri" w:hAnsi="Calibri"/>
                <w:sz w:val="22"/>
              </w:rPr>
              <w:t>+$0.009 / +0.3%</w:t>
            </w:r>
          </w:p>
        </w:tc>
        <w:tc>
          <w:tcPr>
            <w:tcW w:type="dxa" w:w="1080"/>
          </w:tcPr>
          <w:p>
            <w:r>
              <w:rPr>
                <w:rFonts w:ascii="Calibri" w:hAnsi="Calibri"/>
                <w:sz w:val="22"/>
              </w:rPr>
              <w:t>$3.15–$3.25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+2.3% above midpoint ($3.20)</w:t>
            </w:r>
          </w:p>
        </w:tc>
      </w:tr>
      <w:tr>
        <w:tc>
          <w:tcPr>
            <w:tcW w:type="dxa" w:w="1080"/>
          </w:tcPr>
          <w:p>
            <w:r>
              <w:rPr>
                <w:rFonts w:ascii="Calibri" w:hAnsi="Calibri"/>
                <w:sz w:val="22"/>
              </w:rPr>
              <w:t>Revenue — Q2 2026</w:t>
            </w:r>
          </w:p>
        </w:tc>
        <w:tc>
          <w:tcPr>
            <w:tcW w:type="dxa" w:w="1080"/>
          </w:tcPr>
          <w:p>
            <w:r>
              <w:rPr>
                <w:rFonts w:ascii="Calibri" w:hAnsi="Calibri"/>
                <w:sz w:val="22"/>
              </w:rPr>
              <w:t>$4.858B</w:t>
            </w:r>
          </w:p>
        </w:tc>
        <w:tc>
          <w:tcPr>
            <w:tcW w:type="dxa" w:w="1080"/>
          </w:tcPr>
          <w:p>
            <w:r>
              <w:rPr>
                <w:rFonts w:ascii="Calibri" w:hAnsi="Calibri"/>
                <w:sz w:val="22"/>
              </w:rPr>
              <w:t>$4.860B</w:t>
            </w:r>
          </w:p>
        </w:tc>
        <w:tc>
          <w:tcPr>
            <w:tcW w:type="dxa" w:w="1080"/>
          </w:tcPr>
          <w:p>
            <w:r>
              <w:rPr>
                <w:rFonts w:ascii="Calibri" w:hAnsi="Calibri"/>
                <w:sz w:val="22"/>
              </w:rPr>
              <w:t>+$0.002B / +0.04%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$19.048B</w:t>
            </w:r>
          </w:p>
        </w:tc>
        <w:tc>
          <w:tcPr>
            <w:tcW w:type="dxa" w:w="1080"/>
          </w:tcPr>
          <w:p>
            <w:r>
              <w:rPr>
                <w:rFonts w:ascii="Calibri" w:hAnsi="Calibri"/>
                <w:sz w:val="22"/>
              </w:rPr>
              <w:t>$19.054B</w:t>
            </w:r>
          </w:p>
        </w:tc>
        <w:tc>
          <w:tcPr>
            <w:tcW w:type="dxa" w:w="1080"/>
          </w:tcPr>
          <w:p>
            <w:r>
              <w:rPr>
                <w:rFonts w:ascii="Calibri" w:hAnsi="Calibri"/>
                <w:sz w:val="22"/>
              </w:rPr>
              <w:t>+$0.006B / +0.03%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barely moved since the Q1 print — the Street appears to be waiting for the Q2 print rather than pre-positioning. Consensus sits modestly above guidance midpoints on both comps and EPS, implying the market expects ORLY to continue its pattern of guiding conservatively and delivering above the midpoint. 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ORLY surged ~8.4% on the Q1 2026 earnings day (April 30) but has since given back the entire gain and then some, trading ~0.6% below the pre-earnings close as of July 28, 2026. The underperformance vs. the S&amp;P 500 (which is up ~4.4% over the same period) reflects multiple compression rather than estimate cuts — the stock is being re-rated lower as the market digests the Iran/fuel risk and questions whether the Q1 comp beat was partly weather/tax-refund driven.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ORLY vs. S&amp;P 500 (SPY) — Indexed to 100 at April 29, 2026 (Q1 2026 Earnings Date). Source: Stock Price Data.</w:t>
      </w:r>
    </w:p>
    <w:p>
      <w:r>
        <w:rPr>
          <w:rFonts w:ascii="Calibri" w:hAnsi="Calibri"/>
          <w:color w:val="525866"/>
          <w:sz w:val="22"/>
        </w:rPr>
        <w:t>ORLY opened the post-earnings period with a sharp gap-up on April 30 (indexed to ~108 vs. base of 100), driven by the 8.1% comp beat and EPS upside. However, the stock has steadily retraced through May, June, and July, weighed down by: (1) the broader market's concern about Iran-driven fuel price increases and their impact on the core low-to-middle income consumer; (2) insider selling by the CEO and two directors in early-to-mid May (see Insider Activity section); and (3) the stock's premium multiple (~low-to-mid 30s P/E) leaving limited room for error. The S&amp;P 500 has outperformed ORLY by approximately 5 percentage points since the Q1 earnings date, suggesting the underperformance is ORLY-specific rather than sector-wide. Source: Stock Price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appointment of a new Chief Supply Chain Officer from Tractor Supply, signaling a strategic investment in distribution capability as ORLY accelerates its Northeast expansion. Insider selling by the CEO and directors in May is a modest negative signal but appears routine.</w:t>
      </w:r>
    </w:p>
    <w:p>
      <w:pPr>
        <w:pStyle w:val="ListBullet"/>
        <w:ind w:left="360" w:hanging="360"/>
      </w:pPr>
      <w:r>
        <w:rPr>
          <w:rFonts w:ascii="Calibri" w:hAnsi="Calibri"/>
          <w:b/>
          <w:color w:val="525866"/>
          <w:sz w:val="22"/>
        </w:rPr>
        <w:t>July 13, 2026 — New EVP &amp; Chief Supply Chain Officer Appointed (8-K):</w:t>
      </w:r>
      <w:r>
        <w:rPr>
          <w:rFonts w:ascii="Calibri" w:hAnsi="Calibri"/>
          <w:color w:val="525866"/>
          <w:sz w:val="22"/>
        </w:rPr>
        <w:t xml:space="preserve"> O'Reilly hired Colin Yankee (age 49) from Tractor Supply Company, where he served as EVP &amp; CSCO since 2020. Yankee brings 20+ years of retail supply chain experience including stints at Neiman Marcus and Target. Compensation: $700K base, 85% annual incentive target, $500K sign-on stock option grant. </w:t>
      </w:r>
      <w:r>
        <w:rPr>
          <w:rFonts w:ascii="Calibri" w:hAnsi="Calibri"/>
          <w:b/>
          <w:color w:val="525866"/>
          <w:sz w:val="22"/>
        </w:rPr>
        <w:t>Implication:</w:t>
      </w:r>
      <w:r>
        <w:rPr>
          <w:rFonts w:ascii="Calibri" w:hAnsi="Calibri"/>
          <w:color w:val="525866"/>
          <w:sz w:val="22"/>
        </w:rPr>
        <w:t xml:space="preserve"> A high-profile external hire at the CSCO level is notable for ORLY, which typically promotes from within. The Tractor Supply background (omni-channel, global sourcing, e-commerce) suggests ORLY is investing in supply chain sophistication to support its accelerated store expansion (225–235 new stores in 2026) and Northeast corridor buildout via the Virginia DC. This is a medium-term positive for distribution efficiency and inventory management.</w:t>
      </w:r>
    </w:p>
    <w:p>
      <w:pPr>
        <w:pStyle w:val="ListBullet"/>
        <w:ind w:left="360" w:hanging="360"/>
      </w:pPr>
      <w:r>
        <w:rPr>
          <w:rFonts w:ascii="Calibri" w:hAnsi="Calibri"/>
          <w:b/>
          <w:color w:val="525866"/>
          <w:sz w:val="22"/>
        </w:rPr>
        <w:t>May 18, 2026 — $2M Stock Option Grant to Executive Chairman Greg Henslee (8-K):</w:t>
      </w:r>
      <w:r>
        <w:rPr>
          <w:rFonts w:ascii="Calibri" w:hAnsi="Calibri"/>
          <w:color w:val="525866"/>
          <w:sz w:val="22"/>
        </w:rPr>
        <w:t xml:space="preserve"> The Board approved a $2 million grant-date fair value stock option award for Executive Chairman Greg Henslee, vesting 25% per year over four years. </w:t>
      </w:r>
      <w:r>
        <w:rPr>
          <w:rFonts w:ascii="Calibri" w:hAnsi="Calibri"/>
          <w:b/>
          <w:color w:val="525866"/>
          <w:sz w:val="22"/>
        </w:rPr>
        <w:t>Implication:</w:t>
      </w:r>
      <w:r>
        <w:rPr>
          <w:rFonts w:ascii="Calibri" w:hAnsi="Calibri"/>
          <w:color w:val="525866"/>
          <w:sz w:val="22"/>
        </w:rPr>
        <w:t xml:space="preserve"> Signals continued alignment of the founding family with long-term performance. Henslee's continued active role as Executive Chairman (not just a figurehead) is a governance positive.</w:t>
      </w:r>
    </w:p>
    <w:p>
      <w:pPr>
        <w:pStyle w:val="ListBullet"/>
        <w:ind w:left="360" w:hanging="360"/>
      </w:pPr>
      <w:r>
        <w:rPr>
          <w:rFonts w:ascii="Calibri" w:hAnsi="Calibri"/>
          <w:b/>
          <w:color w:val="525866"/>
          <w:sz w:val="22"/>
        </w:rPr>
        <w:t>May 14, 2026 — Annual Shareholder Meeting (8-K):</w:t>
      </w:r>
      <w:r>
        <w:rPr>
          <w:rFonts w:ascii="Calibri" w:hAnsi="Calibri"/>
          <w:color w:val="525866"/>
          <w:sz w:val="22"/>
        </w:rPr>
        <w:t xml:space="preserve"> All nine director nominees elected. John R. Murphy received the lowest vote support (~88% for vs. ~12% against), which is worth monitoring but not unusual. Board composition and committee structure unchanged. CFO Jeremy Fletcher confirmed in role.</w:t>
      </w:r>
    </w:p>
    <w:p>
      <w:pPr>
        <w:pStyle w:val="ListBullet"/>
        <w:ind w:left="360" w:hanging="360"/>
      </w:pPr>
      <w:r>
        <w:rPr>
          <w:rFonts w:ascii="Calibri" w:hAnsi="Calibri"/>
          <w:b/>
          <w:color w:val="525866"/>
          <w:sz w:val="22"/>
        </w:rPr>
        <w:t>July 1, 2026 — Q2 2026 Earnings Date Announcement:</w:t>
      </w:r>
      <w:r>
        <w:rPr>
          <w:rFonts w:ascii="Calibri" w:hAnsi="Calibri"/>
          <w:color w:val="525866"/>
          <w:sz w:val="22"/>
        </w:rPr>
        <w:t xml:space="preserve"> ORLY announced the date for its Q2 2026 earnings release and conference call. Confirms the company is on its normal reporting cadence.</w:t>
      </w:r>
    </w:p>
    <w:p>
      <w:pPr>
        <w:pStyle w:val="ListBullet"/>
        <w:ind w:left="360" w:hanging="360"/>
      </w:pPr>
      <w:r>
        <w:rPr>
          <w:rFonts w:ascii="Calibri" w:hAnsi="Calibri"/>
          <w:b/>
          <w:color w:val="525866"/>
          <w:sz w:val="22"/>
        </w:rPr>
        <w:t>May 1, 2026 — Analyst Price Target Actions (Post-Q1 Earnings):</w:t>
      </w:r>
      <w:r>
        <w:rPr>
          <w:rFonts w:ascii="Calibri" w:hAnsi="Calibri"/>
          <w:color w:val="525866"/>
          <w:sz w:val="22"/>
        </w:rPr>
        <w:t xml:space="preserve"> Multiple firms raised price targets following the Q1 beat: TD Cowen raised to $117 (from $115, Buy); UBS raised to $120 (from $114, Buy); Raymond James reiterated Outperform at $115; Goldman Sachs reiterated Buy at $113 (July 13). Mizuho raised to $110 (from $105, Outperform) on May 4. </w:t>
      </w:r>
      <w:r>
        <w:rPr>
          <w:rFonts w:ascii="Calibri" w:hAnsi="Calibri"/>
          <w:b/>
          <w:color w:val="525866"/>
          <w:sz w:val="22"/>
        </w:rPr>
        <w:t>Implication:</w:t>
      </w:r>
      <w:r>
        <w:rPr>
          <w:rFonts w:ascii="Calibri" w:hAnsi="Calibri"/>
          <w:color w:val="525866"/>
          <w:sz w:val="22"/>
        </w:rPr>
        <w:t xml:space="preserve"> Broad analyst community remains constructive with a Moderate Buy consensus and average price target of ~$112, implying ~22% upside from current levels (~$91). The wide spread between current price and consensus PT suggests the market is more cautious than the sell-side.</w:t>
      </w:r>
    </w:p>
    <w:p>
      <w:pPr>
        <w:pStyle w:val="ListBullet"/>
        <w:ind w:left="360" w:hanging="360"/>
      </w:pPr>
      <w:r>
        <w:rPr>
          <w:rFonts w:ascii="Calibri" w:hAnsi="Calibri"/>
          <w:b/>
          <w:color w:val="525866"/>
          <w:sz w:val="22"/>
        </w:rPr>
        <w:t>Ongoing — Iran Conflict / Oil Supply Risk:</w:t>
      </w:r>
      <w:r>
        <w:rPr>
          <w:rFonts w:ascii="Calibri" w:hAnsi="Calibri"/>
          <w:color w:val="525866"/>
          <w:sz w:val="22"/>
        </w:rPr>
        <w:t xml:space="preserve"> Management flagged on the Q1 call that the Iran conflict and resulting oil supply constraints have the potential to disrupt the motor oil category and impact freight costs. No material Q1 impact, and full-year guidance was not adjusted. However, GPC's Q2 2026 results (July 21) confirmed $20–30M of incremental H2 2026 costs from the Iran conflict, and AZO's Q3 FY2026 results showed June comps decelerating to roughly flat. </w:t>
      </w:r>
      <w:r>
        <w:rPr>
          <w:rFonts w:ascii="Calibri" w:hAnsi="Calibri"/>
          <w:b/>
          <w:color w:val="525866"/>
          <w:sz w:val="22"/>
        </w:rPr>
        <w:t>Implication:</w:t>
      </w:r>
      <w:r>
        <w:rPr>
          <w:rFonts w:ascii="Calibri" w:hAnsi="Calibri"/>
          <w:color w:val="525866"/>
          <w:sz w:val="22"/>
        </w:rPr>
        <w:t xml:space="preserve"> This is the key macro risk for ORLY's Q2 print and H2 2026 outlook.</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Four insiders sold shares in May 2026 — including CEO Brad Beckham selling 13,635 shares (~$1.3M) — shortly after the Q1 earnings beat and stock pop. None of the sales appear to be under a 10b5-1 plan, making them discretionary. Clustered selling by the CEO and two directors within two weeks of the earnings pop is a mild negative signal, though the amounts are not unusually large relative to their holdings.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Brad W. Beckham</w:t>
            </w:r>
          </w:p>
        </w:tc>
        <w:tc>
          <w:tcPr>
            <w:tcW w:type="dxa" w:w="1440"/>
          </w:tcPr>
          <w:p>
            <w:r>
              <w:rPr>
                <w:rFonts w:ascii="Calibri" w:hAnsi="Calibri"/>
                <w:sz w:val="22"/>
              </w:rPr>
              <w:t>CEO</w:t>
            </w:r>
          </w:p>
        </w:tc>
        <w:tc>
          <w:tcPr>
            <w:tcW w:type="dxa" w:w="1440"/>
          </w:tcPr>
          <w:p>
            <w:r>
              <w:rPr>
                <w:rFonts w:ascii="Calibri" w:hAnsi="Calibri"/>
                <w:sz w:val="22"/>
              </w:rPr>
              <w:t>Open Market Sale</w:t>
            </w:r>
          </w:p>
        </w:tc>
        <w:tc>
          <w:tcPr>
            <w:tcW w:type="dxa" w:w="1440"/>
          </w:tcPr>
          <w:p>
            <w:r>
              <w:rPr>
                <w:rFonts w:ascii="Calibri" w:hAnsi="Calibri"/>
                <w:sz w:val="22"/>
              </w:rPr>
              <w:t>13,635 shares</w:t>
            </w:r>
          </w:p>
        </w:tc>
        <w:tc>
          <w:tcPr>
            <w:tcW w:type="dxa" w:w="1440"/>
          </w:tcPr>
          <w:p>
            <w:r>
              <w:rPr>
                <w:rFonts w:ascii="Calibri" w:hAnsi="Calibri"/>
                <w:sz w:val="22"/>
              </w:rPr>
              <w:t>May 8, 2026</w:t>
            </w:r>
          </w:p>
        </w:tc>
        <w:tc>
          <w:tcPr>
            <w:tcW w:type="dxa" w:w="1440"/>
          </w:tcPr>
          <w:p>
            <w:r>
              <w:rPr>
                <w:rFonts w:ascii="Calibri" w:hAnsi="Calibri"/>
                <w:sz w:val="22"/>
              </w:rPr>
              <w:t>Discretionary (no 10b5-1 plan). Sold ~9 days after Q1 earnings beat and stock pop. Retained 12,250 shares post-sale.</w:t>
            </w:r>
          </w:p>
        </w:tc>
      </w:tr>
      <w:tr>
        <w:tc>
          <w:tcPr>
            <w:tcW w:type="dxa" w:w="1440"/>
          </w:tcPr>
          <w:p>
            <w:r>
              <w:rPr>
                <w:rFonts w:ascii="Calibri" w:hAnsi="Calibri"/>
                <w:sz w:val="22"/>
              </w:rPr>
              <w:t>Philip M. Hopper</w:t>
            </w:r>
          </w:p>
        </w:tc>
        <w:tc>
          <w:tcPr>
            <w:tcW w:type="dxa" w:w="1440"/>
          </w:tcPr>
          <w:p>
            <w:r>
              <w:rPr>
                <w:rFonts w:ascii="Calibri" w:hAnsi="Calibri"/>
                <w:sz w:val="22"/>
              </w:rPr>
              <w:t>SVP of Real Estate &amp; Expansion</w:t>
            </w:r>
          </w:p>
        </w:tc>
        <w:tc>
          <w:tcPr>
            <w:tcW w:type="dxa" w:w="1440"/>
          </w:tcPr>
          <w:p>
            <w:r>
              <w:rPr>
                <w:rFonts w:ascii="Calibri" w:hAnsi="Calibri"/>
                <w:sz w:val="22"/>
              </w:rPr>
              <w:t>Open Market Sale</w:t>
            </w:r>
          </w:p>
        </w:tc>
        <w:tc>
          <w:tcPr>
            <w:tcW w:type="dxa" w:w="1440"/>
          </w:tcPr>
          <w:p>
            <w:r>
              <w:rPr>
                <w:rFonts w:ascii="Calibri" w:hAnsi="Calibri"/>
                <w:sz w:val="22"/>
              </w:rPr>
              <w:t>3,700 shares</w:t>
            </w:r>
          </w:p>
        </w:tc>
        <w:tc>
          <w:tcPr>
            <w:tcW w:type="dxa" w:w="1440"/>
          </w:tcPr>
          <w:p>
            <w:r>
              <w:rPr>
                <w:rFonts w:ascii="Calibri" w:hAnsi="Calibri"/>
                <w:sz w:val="22"/>
              </w:rPr>
              <w:t>May 7, 2026</w:t>
            </w:r>
          </w:p>
        </w:tc>
        <w:tc>
          <w:tcPr>
            <w:tcW w:type="dxa" w:w="1440"/>
          </w:tcPr>
          <w:p>
            <w:r>
              <w:rPr>
                <w:rFonts w:ascii="Calibri" w:hAnsi="Calibri"/>
                <w:sz w:val="22"/>
              </w:rPr>
              <w:t>Discretionary (no 10b5-1 plan). Retained 4,888 shares post-sale.</w:t>
            </w:r>
          </w:p>
        </w:tc>
      </w:tr>
      <w:tr>
        <w:tc>
          <w:tcPr>
            <w:tcW w:type="dxa" w:w="1440"/>
          </w:tcPr>
          <w:p>
            <w:r>
              <w:rPr>
                <w:rFonts w:ascii="Calibri" w:hAnsi="Calibri"/>
                <w:sz w:val="22"/>
              </w:rPr>
              <w:t>John Raymond Murphy</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2,595 shares</w:t>
            </w:r>
          </w:p>
        </w:tc>
        <w:tc>
          <w:tcPr>
            <w:tcW w:type="dxa" w:w="1440"/>
          </w:tcPr>
          <w:p>
            <w:r>
              <w:rPr>
                <w:rFonts w:ascii="Calibri" w:hAnsi="Calibri"/>
                <w:sz w:val="22"/>
              </w:rPr>
              <w:t>May 18, 2026</w:t>
            </w:r>
          </w:p>
        </w:tc>
        <w:tc>
          <w:tcPr>
            <w:tcW w:type="dxa" w:w="1440"/>
          </w:tcPr>
          <w:p>
            <w:r>
              <w:rPr>
                <w:rFonts w:ascii="Calibri" w:hAnsi="Calibri"/>
                <w:sz w:val="22"/>
              </w:rPr>
              <w:t>Discretionary (no 10b5-1 plan). Retained 4,000 shares post-sale.</w:t>
            </w:r>
          </w:p>
        </w:tc>
      </w:tr>
      <w:tr>
        <w:tc>
          <w:tcPr>
            <w:tcW w:type="dxa" w:w="1440"/>
          </w:tcPr>
          <w:p>
            <w:r>
              <w:rPr>
                <w:rFonts w:ascii="Calibri" w:hAnsi="Calibri"/>
                <w:sz w:val="22"/>
              </w:rPr>
              <w:t>Thomas Hendrickson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1,200 shares</w:t>
            </w:r>
          </w:p>
        </w:tc>
        <w:tc>
          <w:tcPr>
            <w:tcW w:type="dxa" w:w="1440"/>
          </w:tcPr>
          <w:p>
            <w:r>
              <w:rPr>
                <w:rFonts w:ascii="Calibri" w:hAnsi="Calibri"/>
                <w:sz w:val="22"/>
              </w:rPr>
              <w:t>May 29, 2026</w:t>
            </w:r>
          </w:p>
        </w:tc>
        <w:tc>
          <w:tcPr>
            <w:tcW w:type="dxa" w:w="1440"/>
          </w:tcPr>
          <w:p>
            <w:r>
              <w:rPr>
                <w:rFonts w:ascii="Calibri" w:hAnsi="Calibri"/>
                <w:sz w:val="22"/>
              </w:rPr>
              <w:t>Discretionary (no 10b5-1 plan). Retained 19,675 shares post-sale.</w:t>
            </w:r>
          </w:p>
        </w:tc>
      </w:tr>
    </w:tbl>
    <w:p>
      <w:r>
        <w:rPr>
          <w:rFonts w:ascii="Calibri" w:hAnsi="Calibri"/>
          <w:color w:val="525866"/>
          <w:sz w:val="22"/>
        </w:rPr>
        <w:t>No open-market buys were recorded in the period since Q1 2026 earnings. All four transactions were discretionary sales (no 10b5-1 plans disclosed). The CEO sale of 13,635 shares is the most notable — it represents a meaningful reduction in his direct holdings (from ~25,885 to 12,250 shares, roughly a 47% reduction). Source: Insider Transaction Data (SEC Form 4 Filings).</w:t>
      </w:r>
    </w:p>
    <w:p>
      <w:r>
        <w:br w:type="page"/>
      </w:r>
    </w:p>
    <w:p>
      <w:pPr>
        <w:pStyle w:val="Heading1"/>
        <w:pBdr>
          <w:bottom w:val="single" w:sz="4" w:space="1" w:color="FB9120"/>
        </w:pBdr>
      </w:pPr>
      <w:r>
        <w:rPr>
          <w:rFonts w:ascii="Calibri" w:hAnsi="Calibri"/>
          <w:b/>
          <w:color w:val="3B4259"/>
          <w:sz w:val="40"/>
        </w:rPr>
        <w:t>8. Peer Commentaries — Read-Through for ORLY Q2 2026</w:t>
      </w:r>
    </w:p>
    <w:p>
      <w:r>
        <w:rPr>
          <w:rFonts w:ascii="Calibri" w:hAnsi="Calibri"/>
          <w:b/>
          <w:color w:val="525866"/>
          <w:sz w:val="22"/>
        </w:rPr>
        <w:t xml:space="preserve">Key Takeaway: </w:t>
      </w:r>
      <w:r>
        <w:rPr>
          <w:rFonts w:ascii="Calibri" w:hAnsi="Calibri"/>
          <w:color w:val="525866"/>
          <w:sz w:val="22"/>
        </w:rPr>
        <w:t>Peer commentary from AZO (Q3 FY2026, April–June 2026, reported May 26), AAP (Q1 2026, reported May 21), and GPC (Q2 2026, April–June 2026, reported July 21) paints a nuanced picture: professional/commercial demand remains robust across the industry, but DIY/retail softened in June as fuel prices rose, and the Iran conflict is creating incremental cost headwinds in H2 2026. ORLY’s stronger professional mix and share-gain momentum are relative positives, but the June deceleration risk is real.</w:t>
      </w:r>
    </w:p>
    <w:p>
      <w:pPr>
        <w:pStyle w:val="Heading2"/>
      </w:pPr>
      <w:r>
        <w:rPr>
          <w:rFonts w:ascii="Calibri" w:hAnsi="Calibri"/>
          <w:b/>
          <w:color w:val="3B4259"/>
          <w:sz w:val="28"/>
        </w:rPr>
        <w:t>AutoZone (AZO) — Q3 FY2026 Earnings (April–June 2026 Quarter), Reported May 26, 2026</w:t>
      </w:r>
    </w:p>
    <w:p>
      <w:r>
        <w:rPr>
          <w:rFonts w:ascii="Calibri" w:hAnsi="Calibri"/>
          <w:color w:val="525866"/>
          <w:sz w:val="22"/>
        </w:rPr>
        <w:t xml:space="preserve">AZO’s Q3 FY2026 covers the same calendar quarter as ORLY’s Q2 2026 (April–June 2026), making it the most direct read-through. AZO reported domestic same-store sales of </w:t>
      </w:r>
      <w:r>
        <w:rPr>
          <w:rFonts w:ascii="Calibri" w:hAnsi="Calibri"/>
          <w:b/>
          <w:color w:val="525866"/>
          <w:sz w:val="22"/>
        </w:rPr>
        <w:t>+4.1%</w:t>
      </w:r>
      <w:r>
        <w:rPr>
          <w:rFonts w:ascii="Calibri" w:hAnsi="Calibri"/>
          <w:color w:val="525866"/>
          <w:sz w:val="22"/>
        </w:rPr>
        <w:t xml:space="preserve"> for the quarter, with total company comps of +3.9% on a constant currency basis — the largest sales growth since Q2 FY2023. However, the </w:t>
      </w:r>
      <w:r>
        <w:rPr>
          <w:rFonts w:ascii="Calibri" w:hAnsi="Calibri"/>
          <w:b/>
          <w:color w:val="525866"/>
          <w:sz w:val="22"/>
        </w:rPr>
        <w:t>intra-quarter cadence is the critical read-through</w:t>
      </w:r>
      <w:r>
        <w:rPr>
          <w:rFonts w:ascii="Calibri" w:hAnsi="Calibri"/>
          <w:color w:val="525866"/>
          <w:sz w:val="22"/>
        </w:rPr>
        <w:t xml:space="preserve">: comps ran +5.0% in the first four weeks (April), +4.5% in the second four weeks (May), and decelerated sharply to </w:t>
      </w:r>
      <w:r>
        <w:rPr>
          <w:rFonts w:ascii="Calibri" w:hAnsi="Calibri"/>
          <w:b/>
          <w:color w:val="525866"/>
          <w:sz w:val="22"/>
        </w:rPr>
        <w:t>+2.9% in the final four-week period (June)</w:t>
      </w:r>
      <w:r>
        <w:rPr>
          <w:rFonts w:ascii="Calibri" w:hAnsi="Calibri"/>
          <w:color w:val="525866"/>
          <w:sz w:val="22"/>
        </w:rPr>
        <w:t xml:space="preserve">, with the last two weeks of the quarter at just +1.3%. AZO attributed the June deceleration to </w:t>
      </w:r>
      <w:r>
        <w:rPr>
          <w:rFonts w:ascii="Calibri" w:hAnsi="Calibri"/>
          <w:b/>
          <w:color w:val="525866"/>
          <w:sz w:val="22"/>
        </w:rPr>
        <w:t>unseasonably cool weather impacting heat-related categories</w:t>
      </w:r>
      <w:r>
        <w:rPr>
          <w:rFonts w:ascii="Calibri" w:hAnsi="Calibri"/>
          <w:color w:val="525866"/>
          <w:sz w:val="22"/>
        </w:rPr>
        <w:t xml:space="preserve"> (air conditioning, starting, charging) and softer consumer demand from higher fuel prices.</w:t>
      </w:r>
    </w:p>
    <w:p>
      <w:pPr>
        <w:pStyle w:val="ListBullet"/>
        <w:ind w:left="360" w:hanging="360"/>
      </w:pPr>
      <w:r>
        <w:rPr>
          <w:rFonts w:ascii="Calibri" w:hAnsi="Calibri"/>
          <w:b/>
          <w:color w:val="525866"/>
          <w:sz w:val="22"/>
        </w:rPr>
        <w:t xml:space="preserve">Commercial (Pro) strength: </w:t>
      </w:r>
      <w:r>
        <w:rPr>
          <w:rFonts w:ascii="Calibri" w:hAnsi="Calibri"/>
          <w:color w:val="525866"/>
          <w:sz w:val="22"/>
        </w:rPr>
        <w:t>AZO’s domestic commercial sales grew +10.4% — both national accounts and up-and-down-the-street customers grew double digits. This is a strong read-through for ORLY’s professional business, which has delivered three consecutive quarters of double-digit comps. AZO noted it is "gaining share on both sides of the business" and is "under-shared in commercial in total," suggesting the professional market remains healthy and share gains are broad-based.</w:t>
      </w:r>
    </w:p>
    <w:p>
      <w:pPr>
        <w:pStyle w:val="ListBullet"/>
        <w:ind w:left="360" w:hanging="360"/>
      </w:pPr>
      <w:r>
        <w:rPr>
          <w:rFonts w:ascii="Calibri" w:hAnsi="Calibri"/>
          <w:b/>
          <w:color w:val="525866"/>
          <w:sz w:val="22"/>
        </w:rPr>
        <w:t xml:space="preserve">DIY softness: </w:t>
      </w:r>
      <w:r>
        <w:rPr>
          <w:rFonts w:ascii="Calibri" w:hAnsi="Calibri"/>
          <w:color w:val="525866"/>
          <w:sz w:val="22"/>
        </w:rPr>
        <w:t>AZO’s domestic DIY comps were +2.2% for the quarter, with traffic count negative 3.6% (similar to Q2). The DIY consumer remains under pressure from inflation and fuel prices, with discretionary categories impacted. For ORLY, which has been delivering mid-single-digit DIY comps, this suggests the DIY tailwind from Q1 (tax refunds, weather) has faded and the underlying consumer is more cautious.</w:t>
      </w:r>
    </w:p>
    <w:p>
      <w:pPr>
        <w:pStyle w:val="ListBullet"/>
        <w:ind w:left="360" w:hanging="360"/>
      </w:pPr>
      <w:r>
        <w:rPr>
          <w:rFonts w:ascii="Calibri" w:hAnsi="Calibri"/>
          <w:b/>
          <w:color w:val="525866"/>
          <w:sz w:val="22"/>
        </w:rPr>
        <w:t xml:space="preserve">Inflation / pricing: </w:t>
      </w:r>
      <w:r>
        <w:rPr>
          <w:rFonts w:ascii="Calibri" w:hAnsi="Calibri"/>
          <w:color w:val="525866"/>
          <w:sz w:val="22"/>
        </w:rPr>
        <w:t>AZO reported same-SKU inflation of "just north of +7%" for both DIY and commercial, contributing to average ticket growth of +5.6% (DIY) and +6% (commercial). This is higher than ORLY’s Q1 same-SKU inflation of ~6%, suggesting pricing tailwinds remain intact for the industry in Q2 2026. AZO expects inflation to moderate to ~4% in Q4 as it laps prior-year increases.</w:t>
      </w:r>
    </w:p>
    <w:p>
      <w:pPr>
        <w:pStyle w:val="ListBullet"/>
        <w:ind w:left="360" w:hanging="360"/>
      </w:pPr>
      <w:r>
        <w:rPr>
          <w:rFonts w:ascii="Calibri" w:hAnsi="Calibri"/>
          <w:b/>
          <w:color w:val="525866"/>
          <w:sz w:val="22"/>
        </w:rPr>
        <w:t xml:space="preserve">SG&amp;A: </w:t>
      </w:r>
      <w:r>
        <w:rPr>
          <w:rFonts w:ascii="Calibri" w:hAnsi="Calibri"/>
          <w:color w:val="525866"/>
          <w:sz w:val="22"/>
        </w:rPr>
        <w:t>AZO’s SG&amp;A per store grew +3% (vs. +4% in Q2), and the company does not anticipate a reacceleration. This is a positive read-through for ORLY, which guided for SG&amp;A per store growth to moderate from Q1’s 5.5% as the year progresses.</w:t>
      </w:r>
    </w:p>
    <w:p>
      <w:pPr>
        <w:pStyle w:val="ListBullet"/>
        <w:ind w:left="360" w:hanging="360"/>
      </w:pPr>
      <w:r>
        <w:rPr>
          <w:rFonts w:ascii="Calibri" w:hAnsi="Calibri"/>
          <w:b/>
          <w:color w:val="525866"/>
          <w:sz w:val="22"/>
        </w:rPr>
        <w:t xml:space="preserve">Forward outlook: </w:t>
      </w:r>
      <w:r>
        <w:rPr>
          <w:rFonts w:ascii="Calibri" w:hAnsi="Calibri"/>
          <w:color w:val="525866"/>
          <w:sz w:val="22"/>
        </w:rPr>
        <w:t>AZO expects a "normal, if not hotter than normal summer" and "solid DIY performance" in Q4 FY2026. The company is bullish on commercial growth continuing and expects sustainable comps around the "4%+ level." This is constructive for ORLY’s H2 2026 outlook.</w:t>
      </w:r>
    </w:p>
    <w:p>
      <w:r>
        <w:rPr>
          <w:rFonts w:ascii="Calibri" w:hAnsi="Calibri"/>
          <w:b/>
          <w:color w:val="525866"/>
          <w:sz w:val="22"/>
        </w:rPr>
        <w:t xml:space="preserve">ORLY Read-Through: </w:t>
      </w:r>
      <w:r>
        <w:rPr>
          <w:rFonts w:ascii="Calibri" w:hAnsi="Calibri"/>
          <w:color w:val="525866"/>
          <w:sz w:val="22"/>
        </w:rPr>
        <w:t>The AZO data suggests ORLY’s Q2 2026 comps likely decelerated from Q1’s 8.1% toward the 4–6% range, with June being the weakest month. The professional business likely remained strong (double-digit comps), while DIY moderated. The consensus estimate of ~5.2% comps appears reasonable but could be at risk if June was as weak for ORLY as it was for AZO. Source: AZO Q3 FY2026 Earnings Call Transcript (May 26, 2026).</w:t>
      </w:r>
    </w:p>
    <w:p>
      <w:pPr>
        <w:pStyle w:val="Heading2"/>
      </w:pPr>
      <w:r>
        <w:rPr>
          <w:rFonts w:ascii="Calibri" w:hAnsi="Calibri"/>
          <w:b/>
          <w:color w:val="3B4259"/>
          <w:sz w:val="28"/>
        </w:rPr>
        <w:t>Advance Auto Parts (AAP) — Q1 2026 Earnings (January–March 2026 Quarter), Reported May 21, 2026</w:t>
      </w:r>
    </w:p>
    <w:p>
      <w:r>
        <w:rPr>
          <w:rFonts w:ascii="Calibri" w:hAnsi="Calibri"/>
          <w:color w:val="525866"/>
          <w:sz w:val="22"/>
        </w:rPr>
        <w:t>AAP’s Q1 2026 covers the prior quarter (January–March 2026), but management provided explicit forward guidance for Q2 2026 and the rest of the year that is directly relevant to ORLY’s setup. AAP is a weaker operator than ORLY (in turnaround mode), so the read-through is more about industry-level demand signals than competitive dynamics.</w:t>
      </w:r>
    </w:p>
    <w:p>
      <w:pPr>
        <w:pStyle w:val="ListBullet"/>
        <w:ind w:left="360" w:hanging="360"/>
      </w:pPr>
      <w:r>
        <w:rPr>
          <w:rFonts w:ascii="Calibri" w:hAnsi="Calibri"/>
          <w:b/>
          <w:color w:val="525866"/>
          <w:sz w:val="22"/>
        </w:rPr>
        <w:t xml:space="preserve">Q2 2026 comp guidance: </w:t>
      </w:r>
      <w:r>
        <w:rPr>
          <w:rFonts w:ascii="Calibri" w:hAnsi="Calibri"/>
          <w:color w:val="525866"/>
          <w:sz w:val="22"/>
        </w:rPr>
        <w:t>AAP guided for Q2 comps "in line with our guidance range" of 1–2%, noting Q2 would moderate from Q1’s stronger performance. Management cited the absence of tax refund tailwinds and the beginning of lapping inflationary events from H2 2024 as headwinds. For ORLY, this confirms that the tax refund tailwind that boosted Q1 is fading in Q2, which is consistent with ORLY management’s own cautious commentary.</w:t>
      </w:r>
    </w:p>
    <w:p>
      <w:pPr>
        <w:pStyle w:val="ListBullet"/>
        <w:ind w:left="360" w:hanging="360"/>
      </w:pPr>
      <w:r>
        <w:rPr>
          <w:rFonts w:ascii="Calibri" w:hAnsi="Calibri"/>
          <w:b/>
          <w:color w:val="525866"/>
          <w:sz w:val="22"/>
        </w:rPr>
        <w:t xml:space="preserve">Consumer health: </w:t>
      </w:r>
      <w:r>
        <w:rPr>
          <w:rFonts w:ascii="Calibri" w:hAnsi="Calibri"/>
          <w:color w:val="525866"/>
          <w:sz w:val="22"/>
        </w:rPr>
        <w:t>AAP described household budgets as "pressured right now" and flagged a "shoulder period" between tax refunds and peak driving season (post-Memorial Day) where consumer behavior is uncertain. The company noted that elevated gas prices are "intensifying" pressure on the consumer. This is a direct read-through for ORLY’s DIY segment, which is more exposed to the low-to-middle income consumer.</w:t>
      </w:r>
    </w:p>
    <w:p>
      <w:pPr>
        <w:pStyle w:val="ListBullet"/>
        <w:ind w:left="360" w:hanging="360"/>
      </w:pPr>
      <w:r>
        <w:rPr>
          <w:rFonts w:ascii="Calibri" w:hAnsi="Calibri"/>
          <w:b/>
          <w:color w:val="525866"/>
          <w:sz w:val="22"/>
        </w:rPr>
        <w:t xml:space="preserve">Pro vs. DIY: </w:t>
      </w:r>
      <w:r>
        <w:rPr>
          <w:rFonts w:ascii="Calibri" w:hAnsi="Calibri"/>
          <w:color w:val="525866"/>
          <w:sz w:val="22"/>
        </w:rPr>
        <w:t>AAP confirmed Pro is outperforming DIY, with Pro growing mid-single digits and DIY delivering positive low-single-digit growth in Q1. The company expects Pro to continue outperforming DIY throughout 2026. This is consistent with ORLY’s own trend and supports the view that professional demand is structurally stronger than DIY.</w:t>
      </w:r>
    </w:p>
    <w:p>
      <w:pPr>
        <w:pStyle w:val="ListBullet"/>
        <w:ind w:left="360" w:hanging="360"/>
      </w:pPr>
      <w:r>
        <w:rPr>
          <w:rFonts w:ascii="Calibri" w:hAnsi="Calibri"/>
          <w:b/>
          <w:color w:val="525866"/>
          <w:sz w:val="22"/>
        </w:rPr>
        <w:t xml:space="preserve">Pricing / inflation: </w:t>
      </w:r>
      <w:r>
        <w:rPr>
          <w:rFonts w:ascii="Calibri" w:hAnsi="Calibri"/>
          <w:color w:val="525866"/>
          <w:sz w:val="22"/>
        </w:rPr>
        <w:t>AAP reported same-SKU inflation of ~3% in Q1, in line with expectations, and guided for 2–3% for the full year (front-half higher, back-half lower). Tariff regulations have "not altered" inflation expectations. This is a positive read-through for ORLY’s gross margin stability — the pricing environment remains rational and tariff pass-through is manageable.</w:t>
      </w:r>
    </w:p>
    <w:p>
      <w:pPr>
        <w:pStyle w:val="ListBullet"/>
        <w:ind w:left="360" w:hanging="360"/>
      </w:pPr>
      <w:r>
        <w:rPr>
          <w:rFonts w:ascii="Calibri" w:hAnsi="Calibri"/>
          <w:b/>
          <w:color w:val="525866"/>
          <w:sz w:val="22"/>
        </w:rPr>
        <w:t xml:space="preserve">Industry structure: </w:t>
      </w:r>
      <w:r>
        <w:rPr>
          <w:rFonts w:ascii="Calibri" w:hAnsi="Calibri"/>
          <w:color w:val="525866"/>
          <w:sz w:val="22"/>
        </w:rPr>
        <w:t>AAP described the industry as "very rational" on pricing and noted that less than 10% of the business is discretionary. This supports ORLY’s view that the automotive aftermarket is largely needs-based and resilient even in a softer consumer environment.</w:t>
      </w:r>
    </w:p>
    <w:p>
      <w:r>
        <w:rPr>
          <w:rFonts w:ascii="Calibri" w:hAnsi="Calibri"/>
          <w:b/>
          <w:color w:val="525866"/>
          <w:sz w:val="22"/>
        </w:rPr>
        <w:t xml:space="preserve">ORLY Read-Through: </w:t>
      </w:r>
      <w:r>
        <w:rPr>
          <w:rFonts w:ascii="Calibri" w:hAnsi="Calibri"/>
          <w:color w:val="525866"/>
          <w:sz w:val="22"/>
        </w:rPr>
        <w:t>AAP’s commentary confirms the Q2 2026 setup is more challenging than Q1 for DIY (tax refund fade, fuel price pressure), but the professional channel remains healthy. The rational pricing environment is a positive for ORLY’s gross margin. ORLY’s superior execution and share-gain momentum should allow it to outperform AAP’s 1–2% comp guidance by a wide margin. Source: AAP Q1 2026 Earnings Call Transcript (May 21, 2026).</w:t>
      </w:r>
    </w:p>
    <w:p>
      <w:pPr>
        <w:pStyle w:val="Heading2"/>
      </w:pPr>
      <w:r>
        <w:rPr>
          <w:rFonts w:ascii="Calibri" w:hAnsi="Calibri"/>
          <w:b/>
          <w:color w:val="3B4259"/>
          <w:sz w:val="28"/>
        </w:rPr>
        <w:t>Genuine Parts Company (GPC) — Q2 2026 Earnings (April–June 2026 Quarter), Reported July 21, 2026</w:t>
      </w:r>
    </w:p>
    <w:p>
      <w:r>
        <w:rPr>
          <w:rFonts w:ascii="Calibri" w:hAnsi="Calibri"/>
          <w:color w:val="525866"/>
          <w:sz w:val="22"/>
        </w:rPr>
        <w:t>GPC’s Q2 2026 covers the same calendar quarter as ORLY’s Q2 2026 and was reported just one week before ORLY’s expected print, making it the most timely read-through. GPC’s North America automotive segment (NAPA) is the most relevant business for ORLY comparison, though GPC serves a more wholesale/independent-owner customer base.</w:t>
      </w:r>
    </w:p>
    <w:p>
      <w:pPr>
        <w:pStyle w:val="ListBullet"/>
        <w:ind w:left="360" w:hanging="360"/>
      </w:pPr>
      <w:r>
        <w:rPr>
          <w:rFonts w:ascii="Calibri" w:hAnsi="Calibri"/>
          <w:b/>
          <w:color w:val="525866"/>
          <w:sz w:val="22"/>
        </w:rPr>
        <w:t xml:space="preserve">North America Auto comps: </w:t>
      </w:r>
      <w:r>
        <w:rPr>
          <w:rFonts w:ascii="Calibri" w:hAnsi="Calibri"/>
          <w:color w:val="525866"/>
          <w:sz w:val="22"/>
        </w:rPr>
        <w:t xml:space="preserve">GPC’s North America automotive comparable sales grew +2.6% in Q2 2026, with total sales up ~4%. Company-owned store comps were +4%, with commercial up +5.5%. Retail (DIY) comps were </w:t>
      </w:r>
      <w:r>
        <w:rPr>
          <w:rFonts w:ascii="Calibri" w:hAnsi="Calibri"/>
          <w:b/>
          <w:color w:val="525866"/>
          <w:sz w:val="22"/>
        </w:rPr>
        <w:t>negative 3%</w:t>
      </w:r>
      <w:r>
        <w:rPr>
          <w:rFonts w:ascii="Calibri" w:hAnsi="Calibri"/>
          <w:color w:val="525866"/>
          <w:sz w:val="22"/>
        </w:rPr>
        <w:t xml:space="preserve"> — a meaningful negative read-through for ORLY’s DIY segment. However, GPC’s retail customer base is different from ORLY’s (more wholesale-oriented), so the DIY weakness may be more pronounced at GPC than at ORLY.</w:t>
      </w:r>
    </w:p>
    <w:p>
      <w:pPr>
        <w:pStyle w:val="ListBullet"/>
        <w:ind w:left="360" w:hanging="360"/>
      </w:pPr>
      <w:r>
        <w:rPr>
          <w:rFonts w:ascii="Calibri" w:hAnsi="Calibri"/>
          <w:b/>
          <w:color w:val="525866"/>
          <w:sz w:val="22"/>
        </w:rPr>
        <w:t xml:space="preserve">Intra-quarter cadence: </w:t>
      </w:r>
      <w:r>
        <w:rPr>
          <w:rFonts w:ascii="Calibri" w:hAnsi="Calibri"/>
          <w:color w:val="525866"/>
          <w:sz w:val="22"/>
        </w:rPr>
        <w:t>GPC reported that average daily sales in North America Auto were "up low to mid-single digits in April and May and roughly flat in June," which it attributed to "a softer market resulting from higher fuel prices." July month-to-date has improved, with average daily sales growth tracking "low single-digit." This is the most direct confirmation of the June deceleration risk for ORLY — the same pattern AZO described.</w:t>
      </w:r>
    </w:p>
    <w:p>
      <w:pPr>
        <w:pStyle w:val="ListBullet"/>
        <w:ind w:left="360" w:hanging="360"/>
      </w:pPr>
      <w:r>
        <w:rPr>
          <w:rFonts w:ascii="Calibri" w:hAnsi="Calibri"/>
          <w:b/>
          <w:color w:val="525866"/>
          <w:sz w:val="22"/>
        </w:rPr>
        <w:t xml:space="preserve">Iran conflict / fuel price impact: </w:t>
      </w:r>
      <w:r>
        <w:rPr>
          <w:rFonts w:ascii="Calibri" w:hAnsi="Calibri"/>
          <w:color w:val="525866"/>
          <w:sz w:val="22"/>
        </w:rPr>
        <w:t>GPC was the most explicit about the Iran conflict’s impact, noting that "higher energy prices from the Iran conflict are weakening consumer sentiment" and that the company has incorporated "$20–30 million of incremental costs for the remainder of the year" from higher freight and fuel costs. GPC lowered its H2 2026 automotive revenue outlook by approximately half a percentage point due to the Iran conflict. This is a direct read-through for ORLY’s H2 2026 guidance risk, particularly around freight costs and motor oil category disruption.</w:t>
      </w:r>
    </w:p>
    <w:p>
      <w:pPr>
        <w:pStyle w:val="ListBullet"/>
        <w:ind w:left="360" w:hanging="360"/>
      </w:pPr>
      <w:r>
        <w:rPr>
          <w:rFonts w:ascii="Calibri" w:hAnsi="Calibri"/>
          <w:b/>
          <w:color w:val="525866"/>
          <w:sz w:val="22"/>
        </w:rPr>
        <w:t xml:space="preserve">Pricing / tariffs: </w:t>
      </w:r>
      <w:r>
        <w:rPr>
          <w:rFonts w:ascii="Calibri" w:hAnsi="Calibri"/>
          <w:color w:val="525866"/>
          <w:sz w:val="22"/>
        </w:rPr>
        <w:t>GPC reported price contribution of ~2.5% in North America Auto, with total inflation running "low single digits" and approximately half attributed to tariffs. GPC expects to pass through most cost increases and has not updated gross margin guidance. This is consistent with ORLY’s view that the pricing environment is rational and tariff impacts are manageable.</w:t>
      </w:r>
    </w:p>
    <w:p>
      <w:pPr>
        <w:pStyle w:val="ListBullet"/>
        <w:ind w:left="360" w:hanging="360"/>
      </w:pPr>
      <w:r>
        <w:rPr>
          <w:rFonts w:ascii="Calibri" w:hAnsi="Calibri"/>
          <w:b/>
          <w:color w:val="525866"/>
          <w:sz w:val="22"/>
        </w:rPr>
        <w:t xml:space="preserve">SG&amp;A cost pressures: </w:t>
      </w:r>
      <w:r>
        <w:rPr>
          <w:rFonts w:ascii="Calibri" w:hAnsi="Calibri"/>
          <w:color w:val="525866"/>
          <w:sz w:val="22"/>
        </w:rPr>
        <w:t>GPC flagged higher costs in healthcare (U.S. healthcare expenses up ~15%), freight, and rent (both up mid-single digits). This mirrors ORLY’s own SG&amp;A headwinds (healthcare, self-insurance, wage rates) and suggests the cost environment remains challenging across the industry in Q2 2026.</w:t>
      </w:r>
    </w:p>
    <w:p>
      <w:pPr>
        <w:pStyle w:val="ListBullet"/>
        <w:ind w:left="360" w:hanging="360"/>
      </w:pPr>
      <w:r>
        <w:rPr>
          <w:rFonts w:ascii="Calibri" w:hAnsi="Calibri"/>
          <w:b/>
          <w:color w:val="525866"/>
          <w:sz w:val="22"/>
        </w:rPr>
        <w:t xml:space="preserve">July improvement: </w:t>
      </w:r>
      <w:r>
        <w:rPr>
          <w:rFonts w:ascii="Calibri" w:hAnsi="Calibri"/>
          <w:color w:val="525866"/>
          <w:sz w:val="22"/>
        </w:rPr>
        <w:t>GPC noted that July month-to-date average daily sales growth is tracking "low single-digit" and "in line with expectations," suggesting the June trough may be temporary. This is a modest positive read-through for ORLY’s Q3 2026 setup.</w:t>
      </w:r>
    </w:p>
    <w:p>
      <w:r>
        <w:rPr>
          <w:rFonts w:ascii="Calibri" w:hAnsi="Calibri"/>
          <w:b/>
          <w:color w:val="525866"/>
          <w:sz w:val="22"/>
        </w:rPr>
        <w:t xml:space="preserve">ORLY Read-Through: </w:t>
      </w:r>
      <w:r>
        <w:rPr>
          <w:rFonts w:ascii="Calibri" w:hAnsi="Calibri"/>
          <w:color w:val="525866"/>
          <w:sz w:val="22"/>
        </w:rPr>
        <w:t>GPC’s Q2 2026 results are the most timely and direct read-through for ORLY. The key takeaways are: (1) June was weak across the industry due to fuel prices, with comps roughly flat; (2) the Iran conflict is creating real incremental cost headwinds in H2 2026 that management will need to address; (3) commercial/professional demand remains healthy; and (4) July has improved. For ORLY, the question is whether its stronger professional mix, superior execution, and share-gain momentum allowed it to outperform the industry’s June softness. The consensus estimate of ~5.2% comps for Q2 2026 may prove slightly optimistic if June was as weak as GPC and AZO suggest, but ORLY’s track record of beating consensus (6 of last 8 quarters on comps) provides some comfort. Source: GPC Q2 2026 Earnings Call Transcript (July 21, 2026).</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AZO (Q3 FY2026, Apr–Jun)</w:t>
            </w:r>
          </w:p>
        </w:tc>
        <w:tc>
          <w:tcPr>
            <w:tcW w:type="dxa" w:w="1728"/>
            <w:shd w:val="clear" w:color="auto" w:fill="3B4259"/>
          </w:tcPr>
          <w:p>
            <w:r>
              <w:rPr>
                <w:rFonts w:ascii="Calibri" w:hAnsi="Calibri"/>
                <w:b/>
                <w:color w:val="FFFFFF"/>
                <w:sz w:val="22"/>
              </w:rPr>
              <w:t>AAP (Q1 2026, Jan–Mar; Q2 guidance)</w:t>
            </w:r>
          </w:p>
        </w:tc>
        <w:tc>
          <w:tcPr>
            <w:tcW w:type="dxa" w:w="1728"/>
            <w:shd w:val="clear" w:color="auto" w:fill="3B4259"/>
          </w:tcPr>
          <w:p>
            <w:r>
              <w:rPr>
                <w:rFonts w:ascii="Calibri" w:hAnsi="Calibri"/>
                <w:b/>
                <w:color w:val="FFFFFF"/>
                <w:sz w:val="22"/>
              </w:rPr>
              <w:t>GPC (Q2 2026, Apr–Jun)</w:t>
            </w:r>
          </w:p>
        </w:tc>
        <w:tc>
          <w:tcPr>
            <w:tcW w:type="dxa" w:w="1728"/>
            <w:shd w:val="clear" w:color="auto" w:fill="3B4259"/>
          </w:tcPr>
          <w:p>
            <w:r>
              <w:rPr>
                <w:rFonts w:ascii="Calibri" w:hAnsi="Calibri"/>
                <w:b/>
                <w:color w:val="FFFFFF"/>
                <w:sz w:val="22"/>
              </w:rPr>
              <w:t>ORLY Implication</w:t>
            </w:r>
          </w:p>
        </w:tc>
      </w:tr>
      <w:tr>
        <w:tc>
          <w:tcPr>
            <w:tcW w:type="dxa" w:w="1728"/>
          </w:tcPr>
          <w:p>
            <w:r>
              <w:rPr>
                <w:rFonts w:ascii="Calibri" w:hAnsi="Calibri"/>
                <w:sz w:val="22"/>
              </w:rPr>
              <w:t>Q2 2026 Comp Trend</w:t>
            </w:r>
          </w:p>
        </w:tc>
        <w:tc>
          <w:tcPr>
            <w:tcW w:type="dxa" w:w="1728"/>
          </w:tcPr>
          <w:p>
            <w:r>
              <w:rPr>
                <w:rFonts w:ascii="Calibri" w:hAnsi="Calibri"/>
                <w:sz w:val="22"/>
              </w:rPr>
              <w:t>+4.1% domestic; decelerated to +2.9% in June, +1.3% last 2 weeks</w:t>
            </w:r>
          </w:p>
        </w:tc>
        <w:tc>
          <w:tcPr>
            <w:tcW w:type="dxa" w:w="1728"/>
          </w:tcPr>
          <w:p>
            <w:r>
              <w:rPr>
                <w:rFonts w:ascii="Calibri" w:hAnsi="Calibri"/>
                <w:sz w:val="22"/>
              </w:rPr>
              <w:t>Guided Q2 comps in 1–2% range; moderation from Q1 expected</w:t>
            </w:r>
          </w:p>
        </w:tc>
        <w:tc>
          <w:tcPr>
            <w:tcW w:type="dxa" w:w="1728"/>
          </w:tcPr>
          <w:p>
            <w:r>
              <w:rPr>
                <w:rFonts w:ascii="Calibri" w:hAnsi="Calibri"/>
                <w:sz w:val="22"/>
              </w:rPr>
              <w:t>+2.6% NA auto; roughly flat in June; low-single-digit in July</w:t>
            </w:r>
          </w:p>
        </w:tc>
        <w:tc>
          <w:tcPr>
            <w:tcW w:type="dxa" w:w="1728"/>
          </w:tcPr>
          <w:p>
            <w:r>
              <w:rPr>
                <w:rFonts w:ascii="Calibri" w:hAnsi="Calibri"/>
                <w:sz w:val="22"/>
              </w:rPr>
              <w:t>June deceleration risk for ORLY; consensus ~5.2% may be at risk</w:t>
            </w:r>
          </w:p>
        </w:tc>
      </w:tr>
      <w:tr>
        <w:tc>
          <w:tcPr>
            <w:tcW w:type="dxa" w:w="1728"/>
          </w:tcPr>
          <w:p>
            <w:r>
              <w:rPr>
                <w:rFonts w:ascii="Calibri" w:hAnsi="Calibri"/>
                <w:sz w:val="22"/>
              </w:rPr>
              <w:t>Professional / Commercial</w:t>
            </w:r>
          </w:p>
        </w:tc>
        <w:tc>
          <w:tcPr>
            <w:tcW w:type="dxa" w:w="1728"/>
          </w:tcPr>
          <w:p>
            <w:r>
              <w:rPr>
                <w:rFonts w:ascii="Calibri" w:hAnsi="Calibri"/>
                <w:sz w:val="22"/>
              </w:rPr>
              <w:t>+10.4% domestic commercial; double-digit for national accounts and UDTS</w:t>
            </w:r>
          </w:p>
        </w:tc>
        <w:tc>
          <w:tcPr>
            <w:tcW w:type="dxa" w:w="1728"/>
          </w:tcPr>
          <w:p>
            <w:r>
              <w:rPr>
                <w:rFonts w:ascii="Calibri" w:hAnsi="Calibri"/>
                <w:sz w:val="22"/>
              </w:rPr>
              <w:t>Pro outperforming DIY; mid-single-digit Pro growth</w:t>
            </w:r>
          </w:p>
        </w:tc>
        <w:tc>
          <w:tcPr>
            <w:tcW w:type="dxa" w:w="1728"/>
          </w:tcPr>
          <w:p>
            <w:r>
              <w:rPr>
                <w:rFonts w:ascii="Calibri" w:hAnsi="Calibri"/>
                <w:sz w:val="22"/>
              </w:rPr>
              <w:t>+5.5% commercial comps at company-owned stores</w:t>
            </w:r>
          </w:p>
        </w:tc>
        <w:tc>
          <w:tcPr>
            <w:tcW w:type="dxa" w:w="1728"/>
          </w:tcPr>
          <w:p>
            <w:r>
              <w:rPr>
                <w:rFonts w:ascii="Calibri" w:hAnsi="Calibri"/>
                <w:sz w:val="22"/>
              </w:rPr>
              <w:t>Positive — ORLY’s Pro business likely remained strong (4th consecutive double-digit quarter possible)</w:t>
            </w:r>
          </w:p>
        </w:tc>
      </w:tr>
      <w:tr>
        <w:tc>
          <w:tcPr>
            <w:tcW w:type="dxa" w:w="1728"/>
          </w:tcPr>
          <w:p>
            <w:r>
              <w:rPr>
                <w:rFonts w:ascii="Calibri" w:hAnsi="Calibri"/>
                <w:sz w:val="22"/>
              </w:rPr>
              <w:t>DIY / Retail Consumer</w:t>
            </w:r>
          </w:p>
        </w:tc>
        <w:tc>
          <w:tcPr>
            <w:tcW w:type="dxa" w:w="1728"/>
          </w:tcPr>
          <w:p>
            <w:r>
              <w:rPr>
                <w:rFonts w:ascii="Calibri" w:hAnsi="Calibri"/>
                <w:sz w:val="22"/>
              </w:rPr>
              <w:t>+2.2% DIY; traffic -3.6%; discretionary categories soft</w:t>
            </w:r>
          </w:p>
        </w:tc>
        <w:tc>
          <w:tcPr>
            <w:tcW w:type="dxa" w:w="1728"/>
          </w:tcPr>
          <w:p>
            <w:r>
              <w:rPr>
                <w:rFonts w:ascii="Calibri" w:hAnsi="Calibri"/>
                <w:sz w:val="22"/>
              </w:rPr>
              <w:t>Household budgets pressured; tax refund tailwind faded; gas prices intensifying pressure</w:t>
            </w:r>
          </w:p>
        </w:tc>
        <w:tc>
          <w:tcPr>
            <w:tcW w:type="dxa" w:w="1728"/>
          </w:tcPr>
          <w:p>
            <w:r>
              <w:rPr>
                <w:rFonts w:ascii="Calibri" w:hAnsi="Calibri"/>
                <w:sz w:val="22"/>
              </w:rPr>
              <w:t>-3% retail comps; consumer sentiment at 30-year low in some markets</w:t>
            </w:r>
          </w:p>
        </w:tc>
        <w:tc>
          <w:tcPr>
            <w:tcW w:type="dxa" w:w="1728"/>
          </w:tcPr>
          <w:p>
            <w:r>
              <w:rPr>
                <w:rFonts w:ascii="Calibri" w:hAnsi="Calibri"/>
                <w:sz w:val="22"/>
              </w:rPr>
              <w:t>Negative — DIY likely moderated from Q1’s mid-single-digit; fuel prices are the key risk</w:t>
            </w:r>
          </w:p>
        </w:tc>
      </w:tr>
      <w:tr>
        <w:tc>
          <w:tcPr>
            <w:tcW w:type="dxa" w:w="1728"/>
          </w:tcPr>
          <w:p>
            <w:r>
              <w:rPr>
                <w:rFonts w:ascii="Calibri" w:hAnsi="Calibri"/>
                <w:sz w:val="22"/>
              </w:rPr>
              <w:t>Pricing / Inflation</w:t>
            </w:r>
          </w:p>
        </w:tc>
        <w:tc>
          <w:tcPr>
            <w:tcW w:type="dxa" w:w="1728"/>
          </w:tcPr>
          <w:p>
            <w:r>
              <w:rPr>
                <w:rFonts w:ascii="Calibri" w:hAnsi="Calibri"/>
                <w:sz w:val="22"/>
              </w:rPr>
              <w:t>Same-SKU inflation &gt;7%; ticket up 5.6% DIY, 6% commercial</w:t>
            </w:r>
          </w:p>
        </w:tc>
        <w:tc>
          <w:tcPr>
            <w:tcW w:type="dxa" w:w="1728"/>
          </w:tcPr>
          <w:p>
            <w:r>
              <w:rPr>
                <w:rFonts w:ascii="Calibri" w:hAnsi="Calibri"/>
                <w:sz w:val="22"/>
              </w:rPr>
              <w:t>Same-SKU inflation ~3%; rational industry pricing; tariffs not altering expectations</w:t>
            </w:r>
          </w:p>
        </w:tc>
        <w:tc>
          <w:tcPr>
            <w:tcW w:type="dxa" w:w="1728"/>
          </w:tcPr>
          <w:p>
            <w:r>
              <w:rPr>
                <w:rFonts w:ascii="Calibri" w:hAnsi="Calibri"/>
                <w:sz w:val="22"/>
              </w:rPr>
              <w:t>Price contribution ~2.5%; ~half of low-single-digit inflation from tariffs</w:t>
            </w:r>
          </w:p>
        </w:tc>
        <w:tc>
          <w:tcPr>
            <w:tcW w:type="dxa" w:w="1728"/>
          </w:tcPr>
          <w:p>
            <w:r>
              <w:rPr>
                <w:rFonts w:ascii="Calibri" w:hAnsi="Calibri"/>
                <w:sz w:val="22"/>
              </w:rPr>
              <w:t>Neutral-to-positive — pricing environment rational; ORLY’s ~6% same-SKU inflation in Q1 likely moderating in Q2</w:t>
            </w:r>
          </w:p>
        </w:tc>
      </w:tr>
      <w:tr>
        <w:tc>
          <w:tcPr>
            <w:tcW w:type="dxa" w:w="1728"/>
          </w:tcPr>
          <w:p>
            <w:r>
              <w:rPr>
                <w:rFonts w:ascii="Calibri" w:hAnsi="Calibri"/>
                <w:sz w:val="22"/>
              </w:rPr>
              <w:t>Iran / Fuel Cost Risk</w:t>
            </w:r>
          </w:p>
        </w:tc>
        <w:tc>
          <w:tcPr>
            <w:tcW w:type="dxa" w:w="1728"/>
          </w:tcPr>
          <w:p>
            <w:r>
              <w:rPr>
                <w:rFonts w:ascii="Calibri" w:hAnsi="Calibri"/>
                <w:sz w:val="22"/>
              </w:rPr>
              <w:t>"Pretty fluid" situation; expects inflationary environment to continue</w:t>
            </w:r>
          </w:p>
        </w:tc>
        <w:tc>
          <w:tcPr>
            <w:tcW w:type="dxa" w:w="1728"/>
          </w:tcPr>
          <w:p>
            <w:r>
              <w:rPr>
                <w:rFonts w:ascii="Calibri" w:hAnsi="Calibri"/>
                <w:sz w:val="22"/>
              </w:rPr>
              <w:t>Gas prices intensifying consumer pressure; near-term demand variability expected</w:t>
            </w:r>
          </w:p>
        </w:tc>
        <w:tc>
          <w:tcPr>
            <w:tcW w:type="dxa" w:w="1728"/>
          </w:tcPr>
          <w:p>
            <w:r>
              <w:rPr>
                <w:rFonts w:ascii="Calibri" w:hAnsi="Calibri"/>
                <w:sz w:val="22"/>
              </w:rPr>
              <w:t>$20–30M incremental H2 2026 costs; lowered H2 auto revenue outlook by ~0.5pp</w:t>
            </w:r>
          </w:p>
        </w:tc>
        <w:tc>
          <w:tcPr>
            <w:tcW w:type="dxa" w:w="1728"/>
          </w:tcPr>
          <w:p>
            <w:r>
              <w:rPr>
                <w:rFonts w:ascii="Calibri" w:hAnsi="Calibri"/>
                <w:sz w:val="22"/>
              </w:rPr>
              <w:t>Negative — H2 2026 guidance risk for ORLY; motor oil and freight cost headwinds flagged by management</w:t>
            </w:r>
          </w:p>
        </w:tc>
      </w:tr>
      <w:tr>
        <w:tc>
          <w:tcPr>
            <w:tcW w:type="dxa" w:w="1728"/>
          </w:tcPr>
          <w:p>
            <w:r>
              <w:rPr>
                <w:rFonts w:ascii="Calibri" w:hAnsi="Calibri"/>
                <w:sz w:val="22"/>
              </w:rPr>
              <w:t>SG&amp;A / Cost Pressures</w:t>
            </w:r>
          </w:p>
        </w:tc>
        <w:tc>
          <w:tcPr>
            <w:tcW w:type="dxa" w:w="1728"/>
          </w:tcPr>
          <w:p>
            <w:r>
              <w:rPr>
                <w:rFonts w:ascii="Calibri" w:hAnsi="Calibri"/>
                <w:sz w:val="22"/>
              </w:rPr>
              <w:t>SG&amp;A per store +3% (improving from +4%); no reacceleration expected</w:t>
            </w:r>
          </w:p>
        </w:tc>
        <w:tc>
          <w:tcPr>
            <w:tcW w:type="dxa" w:w="1728"/>
          </w:tcPr>
          <w:p>
            <w:r>
              <w:rPr>
                <w:rFonts w:ascii="Calibri" w:hAnsi="Calibri"/>
                <w:sz w:val="22"/>
              </w:rPr>
              <w:t>SG&amp;A declined 3% YoY; cycling nonrecurring 2025 expenses</w:t>
            </w:r>
          </w:p>
        </w:tc>
        <w:tc>
          <w:tcPr>
            <w:tcW w:type="dxa" w:w="1728"/>
          </w:tcPr>
          <w:p>
            <w:r>
              <w:rPr>
                <w:rFonts w:ascii="Calibri" w:hAnsi="Calibri"/>
                <w:sz w:val="22"/>
              </w:rPr>
              <w:t>Healthcare up ~15%; freight and rent up mid-single digits</w:t>
            </w:r>
          </w:p>
        </w:tc>
        <w:tc>
          <w:tcPr>
            <w:tcW w:type="dxa" w:w="1728"/>
          </w:tcPr>
          <w:p>
            <w:r>
              <w:rPr>
                <w:rFonts w:ascii="Calibri" w:hAnsi="Calibri"/>
                <w:sz w:val="22"/>
              </w:rPr>
              <w:t>Neutral — industry-wide cost pressures persist but ORLY’s SG&amp;A per store expected to moderate from Q1’s 5.5%</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