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O'Reilly Automotive (ORLY) — 2Q26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O'Reilly Automotive, Inc.</w:t>
            </w:r>
          </w:p>
        </w:tc>
      </w:tr>
      <w:tr>
        <w:tc>
          <w:tcPr>
            <w:tcW w:type="dxa" w:w="4320"/>
          </w:tcPr>
          <w:p>
            <w:r>
              <w:rPr>
                <w:rFonts w:ascii="Calibri" w:hAnsi="Calibri"/>
                <w:b/>
                <w:sz w:val="22"/>
              </w:rPr>
              <w:t>Ticker</w:t>
            </w:r>
          </w:p>
        </w:tc>
        <w:tc>
          <w:tcPr>
            <w:tcW w:type="dxa" w:w="4320"/>
          </w:tcPr>
          <w:p>
            <w:r>
              <w:rPr>
                <w:rFonts w:ascii="Calibri" w:hAnsi="Calibri"/>
                <w:sz w:val="22"/>
              </w:rPr>
              <w:t>ORLY (NASDAQ)</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Earnings Call 11:00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Primary Valuation Metric</w:t>
            </w:r>
          </w:p>
        </w:tc>
        <w:tc>
          <w:tcPr>
            <w:tcW w:type="dxa" w:w="4320"/>
          </w:tcPr>
          <w:p>
            <w:r>
              <w:rPr>
                <w:rFonts w:ascii="Calibri" w:hAnsi="Calibri"/>
                <w:sz w:val="22"/>
              </w:rPr>
              <w:t>NTM P/E: 26.1x (vs. 31.2x one year ago; −16% multiple compression over 12 months)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constructive but not easy — consensus is modeling a meaningful deceleration from Q1's blowout 8.1% comp to ~5.2%, and the bar on EPS is modest at $0.87, leaving room for a beat if the professional business sustains momentum and DIY holds up against elevated fuel prices.</w:t>
      </w:r>
    </w:p>
    <w:p>
      <w:r>
        <w:rPr>
          <w:rFonts w:ascii="Calibri" w:hAnsi="Calibri"/>
          <w:color w:val="525866"/>
          <w:sz w:val="22"/>
        </w:rPr>
        <w:t xml:space="preserve">O'Reilly heads into 2Q26 earnings with momentum from a strong Q1 beat (8.1% comp vs. ~5.4% consensus) but faces a tougher setup as the quarter lacked the tax-refund and weather tailwinds that amplified Q1 results. </w:t>
      </w:r>
      <w:r>
        <w:rPr>
          <w:rFonts w:ascii="Calibri" w:hAnsi="Calibri"/>
          <w:b/>
          <w:color w:val="525866"/>
          <w:sz w:val="22"/>
        </w:rPr>
        <w:t>Consensus is modeling a 2Q comp of ~5.2%</w:t>
      </w:r>
      <w:r>
        <w:rPr>
          <w:rFonts w:ascii="Calibri" w:hAnsi="Calibri"/>
          <w:color w:val="525866"/>
          <w:sz w:val="22"/>
        </w:rPr>
        <w:t xml:space="preserve"> — a meaningful step-down from Q1 but still above the full-year guidance midpoint of 4%, implying the Street expects some normalization without a cliff. Management's tone on the April call was deliberately cautious: they kept the full-year comp range at 3–5% unchanged and flagged </w:t>
      </w:r>
      <w:r>
        <w:rPr>
          <w:rFonts w:ascii="Calibri" w:hAnsi="Calibri"/>
          <w:b/>
          <w:color w:val="525866"/>
          <w:sz w:val="22"/>
        </w:rPr>
        <w:t>fuel price spikes and sustained consumer pressure on the low-to-middle income core customer</w:t>
      </w:r>
      <w:r>
        <w:rPr>
          <w:rFonts w:ascii="Calibri" w:hAnsi="Calibri"/>
          <w:color w:val="525866"/>
          <w:sz w:val="22"/>
        </w:rPr>
        <w:t xml:space="preserve"> as the primary demand wildcards. Estimate revisions have been modestly positive since the Q1 print — 2Q EPS moved from $0.863 to $0.865 and the FY from $3.263 to $3.272 — suggesting the Street is not aggressively chasing the beat, which is a healthy setup. The stock has de-rated sharply over the past 12 months (NTM P/E from ~31x to ~26x), meaning the multiple is no longer pricing in perfection, and a clean print with stable guidance could be enough to drive a positive reaction. The single biggest wildcard is </w:t>
      </w:r>
      <w:r>
        <w:rPr>
          <w:rFonts w:ascii="Calibri" w:hAnsi="Calibri"/>
          <w:b/>
          <w:color w:val="525866"/>
          <w:sz w:val="22"/>
        </w:rPr>
        <w:t>the professional comp trajectory</w:t>
      </w:r>
      <w:r>
        <w:rPr>
          <w:rFonts w:ascii="Calibri" w:hAnsi="Calibri"/>
          <w:color w:val="525866"/>
          <w:sz w:val="22"/>
        </w:rPr>
        <w:t>: three consecutive quarters of double-digit pro comps have set a high bar, and any moderation toward mid-to-high single digits will be scrutinized closely — peer AZO reported +10.4% commercial comps in its March–May quarter, providing a positive read-through for the category.</w:t>
      </w:r>
    </w:p>
    <w:p>
      <w:r>
        <w:rPr>
          <w:rFonts w:ascii="Calibri" w:hAnsi="Calibri"/>
          <w:b/>
          <w:color w:val="525866"/>
          <w:sz w:val="22"/>
        </w:rPr>
        <w:t xml:space="preserve">Bar: </w:t>
      </w:r>
      <w:r>
        <w:rPr>
          <w:rFonts w:ascii="Calibri" w:hAnsi="Calibri"/>
          <w:color w:val="525866"/>
          <w:sz w:val="22"/>
        </w:rPr>
        <w:t>Consensus at ~5.2% comp and $0.87 operating EPS is a moderate bar — below Q1's 8.1% comp but above the full-year guidance midpoint, leaving room for a beat if execution holds.</w:t>
      </w:r>
    </w:p>
    <w:p>
      <w:r>
        <w:rPr>
          <w:rFonts w:ascii="Calibri" w:hAnsi="Calibri"/>
          <w:b/>
          <w:color w:val="525866"/>
          <w:sz w:val="22"/>
        </w:rPr>
        <w:t xml:space="preserve">Guidance/Tone: </w:t>
      </w:r>
      <w:r>
        <w:rPr>
          <w:rFonts w:ascii="Calibri" w:hAnsi="Calibri"/>
          <w:color w:val="525866"/>
          <w:sz w:val="22"/>
        </w:rPr>
        <w:t>Management was deliberately cautious on the Q1 call, keeping full-year comp guidance at 3–5% despite the Q1 beat and flagging fuel prices and consumer pressure as risks. No post-earnings guidance revision has been issued.</w:t>
      </w:r>
    </w:p>
    <w:p>
      <w:r>
        <w:rPr>
          <w:rFonts w:ascii="Calibri" w:hAnsi="Calibri"/>
          <w:b/>
          <w:color w:val="525866"/>
          <w:sz w:val="22"/>
        </w:rPr>
        <w:t xml:space="preserve">Estimate Trajectory: </w:t>
      </w:r>
      <w:r>
        <w:rPr>
          <w:rFonts w:ascii="Calibri" w:hAnsi="Calibri"/>
          <w:color w:val="525866"/>
          <w:sz w:val="22"/>
        </w:rPr>
        <w:t>Revisions have been modestly positive since the Q1 print — 2Q EPS edged up from $0.863 to $0.865 and FY EPS from $3.263 to $3.272 — indicating the Street is not aggressively chasing the beat, which is a constructive setup.</w:t>
      </w:r>
    </w:p>
    <w:p>
      <w:r>
        <w:rPr>
          <w:rFonts w:ascii="Calibri" w:hAnsi="Calibri"/>
          <w:b/>
          <w:color w:val="525866"/>
          <w:sz w:val="22"/>
        </w:rPr>
        <w:t xml:space="preserve">Stock Setup: </w:t>
      </w:r>
      <w:r>
        <w:rPr>
          <w:rFonts w:ascii="Calibri" w:hAnsi="Calibri"/>
          <w:color w:val="525866"/>
          <w:sz w:val="22"/>
        </w:rPr>
        <w:t>ORLY has de-rated ~16% on NTM P/E over the past 12 months (from ~31x to ~26x), with the stock down ~7% over the same period. Multiple compression has been the dominant driver of underperformance, not estimate cuts. At 26x, the stock is no longer pricing in perfection, reducing the risk of a sell-the-news reaction on an in-line print.</w:t>
      </w:r>
    </w:p>
    <w:p>
      <w:r>
        <w:rPr>
          <w:rFonts w:ascii="Calibri" w:hAnsi="Calibri"/>
          <w:b/>
          <w:color w:val="525866"/>
          <w:sz w:val="22"/>
        </w:rPr>
        <w:t xml:space="preserve">Wildcard: </w:t>
      </w:r>
      <w:r>
        <w:rPr>
          <w:rFonts w:ascii="Calibri" w:hAnsi="Calibri"/>
          <w:color w:val="525866"/>
          <w:sz w:val="22"/>
        </w:rPr>
        <w:t>The Iran conflict and resulting oil supply constraints flagged by management on the Q1 call — if motor oil category costs or freight costs have risen materially in Q2, gross margin could disappoint even on a solid comp. Conversely, a hotter-than-expected summer (AZO flagged this as a tailwind for Q4 FY26) could have pulled forward heat-related demand into June, providing upside to the comp.</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modeling a meaningful deceleration in comparable store sales from Q1's 8.1% to ~5.2% for 2Q26 — a moderate bar that leaves room for a beat. Operating EPS at $0.87 is the secondary swing factor, with gross margin the key variable given ongoing tariff and fuel cost uncertainty.</w:t>
      </w:r>
    </w:p>
    <w:p>
      <w:pPr>
        <w:pStyle w:val="Heading2"/>
      </w:pPr>
      <w:r>
        <w:rPr>
          <w:rFonts w:ascii="Calibri" w:hAnsi="Calibri"/>
          <w:b/>
          <w:color w:val="3B4259"/>
          <w:sz w:val="28"/>
        </w:rPr>
        <w:t>Table 1 — 2Q26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 (Last Quarter)</w:t>
            </w:r>
          </w:p>
        </w:tc>
        <w:tc>
          <w:tcPr>
            <w:tcW w:type="dxa" w:w="1234"/>
            <w:shd w:val="clear" w:color="auto" w:fill="3B4259"/>
          </w:tcPr>
          <w:p>
            <w:r>
              <w:rPr>
                <w:rFonts w:ascii="Calibri" w:hAnsi="Calibri"/>
                <w:b/>
                <w:color w:val="FFFFFF"/>
                <w:sz w:val="22"/>
              </w:rPr>
              <w:t>2Q25 Actual (Prior Year)</w:t>
            </w:r>
          </w:p>
        </w:tc>
        <w:tc>
          <w:tcPr>
            <w:tcW w:type="dxa" w:w="1234"/>
            <w:shd w:val="clear" w:color="auto" w:fill="3B4259"/>
          </w:tcPr>
          <w:p>
            <w:r>
              <w:rPr>
                <w:rFonts w:ascii="Calibri" w:hAnsi="Calibri"/>
                <w:b/>
                <w:color w:val="FFFFFF"/>
                <w:sz w:val="22"/>
              </w:rPr>
              <w:t>2Q26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Comparable Store Sales (%)</w:t>
            </w:r>
          </w:p>
        </w:tc>
        <w:tc>
          <w:tcPr>
            <w:tcW w:type="dxa" w:w="1234"/>
          </w:tcPr>
          <w:p>
            <w:r>
              <w:rPr>
                <w:rFonts w:ascii="Calibri" w:hAnsi="Calibri"/>
                <w:sz w:val="22"/>
              </w:rPr>
              <w:t>8.1%</w:t>
            </w:r>
          </w:p>
        </w:tc>
        <w:tc>
          <w:tcPr>
            <w:tcW w:type="dxa" w:w="1234"/>
          </w:tcPr>
          <w:p>
            <w:r>
              <w:rPr>
                <w:rFonts w:ascii="Calibri" w:hAnsi="Calibri"/>
                <w:sz w:val="22"/>
              </w:rPr>
              <w:t>4.1%</w:t>
            </w:r>
          </w:p>
        </w:tc>
        <w:tc>
          <w:tcPr>
            <w:tcW w:type="dxa" w:w="1234"/>
          </w:tcPr>
          <w:p>
            <w:r>
              <w:rPr>
                <w:rFonts w:ascii="Calibri" w:hAnsi="Calibri"/>
                <w:sz w:val="22"/>
              </w:rPr>
              <w:t>~5.19%</w:t>
            </w:r>
          </w:p>
        </w:tc>
        <w:tc>
          <w:tcPr>
            <w:tcW w:type="dxa" w:w="1234"/>
          </w:tcPr>
          <w:p>
            <w:r>
              <w:rPr>
                <w:rFonts w:ascii="Calibri" w:hAnsi="Calibri"/>
                <w:sz w:val="22"/>
              </w:rPr>
              <w:t>+108 bps YoY</w:t>
            </w:r>
          </w:p>
        </w:tc>
        <w:tc>
          <w:tcPr>
            <w:tcW w:type="dxa" w:w="1234"/>
          </w:tcPr>
          <w:p>
            <w:r>
              <w:rPr>
                <w:rFonts w:ascii="Calibri" w:hAnsi="Calibri"/>
                <w:sz w:val="22"/>
              </w:rPr>
              <w:t>3.0% – 5.0% (mid: 4.0%)</w:t>
            </w:r>
          </w:p>
        </w:tc>
        <w:tc>
          <w:tcPr>
            <w:tcW w:type="dxa" w:w="1234"/>
          </w:tcPr>
          <w:p>
            <w:r>
              <w:rPr>
                <w:rFonts w:ascii="Calibri" w:hAnsi="Calibri"/>
                <w:b/>
                <w:color w:val="30A46C"/>
                <w:sz w:val="22"/>
              </w:rPr>
              <w:t>+119 bps above midpoint</w:t>
            </w:r>
          </w:p>
        </w:tc>
      </w:tr>
      <w:tr>
        <w:tc>
          <w:tcPr>
            <w:tcW w:type="dxa" w:w="1234"/>
          </w:tcPr>
          <w:p>
            <w:r>
              <w:rPr>
                <w:rFonts w:ascii="Calibri" w:hAnsi="Calibri"/>
                <w:sz w:val="22"/>
              </w:rPr>
              <w:t>Revenue / Sales ($B)</w:t>
            </w:r>
          </w:p>
        </w:tc>
        <w:tc>
          <w:tcPr>
            <w:tcW w:type="dxa" w:w="1234"/>
          </w:tcPr>
          <w:p>
            <w:r>
              <w:rPr>
                <w:rFonts w:ascii="Calibri" w:hAnsi="Calibri"/>
                <w:sz w:val="22"/>
              </w:rPr>
              <w:t>$4.561B</w:t>
            </w:r>
          </w:p>
        </w:tc>
        <w:tc>
          <w:tcPr>
            <w:tcW w:type="dxa" w:w="1234"/>
          </w:tcPr>
          <w:p>
            <w:r>
              <w:rPr>
                <w:rFonts w:ascii="Calibri" w:hAnsi="Calibri"/>
                <w:sz w:val="22"/>
              </w:rPr>
              <w:t>$4.525B</w:t>
            </w:r>
          </w:p>
        </w:tc>
        <w:tc>
          <w:tcPr>
            <w:tcW w:type="dxa" w:w="1234"/>
          </w:tcPr>
          <w:p>
            <w:r>
              <w:rPr>
                <w:rFonts w:ascii="Calibri" w:hAnsi="Calibri"/>
                <w:sz w:val="22"/>
              </w:rPr>
              <w:t>$4.860B</w:t>
            </w:r>
          </w:p>
        </w:tc>
        <w:tc>
          <w:tcPr>
            <w:tcW w:type="dxa" w:w="1234"/>
          </w:tcPr>
          <w:p>
            <w:r>
              <w:rPr>
                <w:rFonts w:ascii="Calibri" w:hAnsi="Calibri"/>
                <w:sz w:val="22"/>
              </w:rPr>
              <w:t>+7.4% YoY</w:t>
            </w:r>
          </w:p>
        </w:tc>
        <w:tc>
          <w:tcPr>
            <w:tcW w:type="dxa" w:w="1234"/>
          </w:tcPr>
          <w:p>
            <w:r>
              <w:rPr>
                <w:rFonts w:ascii="Calibri" w:hAnsi="Calibri"/>
                <w:sz w:val="22"/>
              </w:rPr>
              <w:t>$18.7B – $19.0B (FY)</w:t>
            </w:r>
          </w:p>
        </w:tc>
        <w:tc>
          <w:tcPr>
            <w:tcW w:type="dxa" w:w="1234"/>
          </w:tcPr>
          <w:p>
            <w:r>
              <w:rPr>
                <w:rFonts w:ascii="Calibri" w:hAnsi="Calibri"/>
                <w:sz w:val="22"/>
              </w:rPr>
              <w:t>Tracking in-line with FY range</w:t>
            </w:r>
          </w:p>
        </w:tc>
      </w:tr>
      <w:tr>
        <w:tc>
          <w:tcPr>
            <w:tcW w:type="dxa" w:w="1234"/>
          </w:tcPr>
          <w:p>
            <w:r>
              <w:rPr>
                <w:rFonts w:ascii="Calibri" w:hAnsi="Calibri"/>
                <w:sz w:val="22"/>
              </w:rPr>
              <w:t>EPS — Diluted Operating ($)</w:t>
            </w:r>
          </w:p>
        </w:tc>
        <w:tc>
          <w:tcPr>
            <w:tcW w:type="dxa" w:w="1234"/>
          </w:tcPr>
          <w:p>
            <w:r>
              <w:rPr>
                <w:rFonts w:ascii="Calibri" w:hAnsi="Calibri"/>
                <w:sz w:val="22"/>
              </w:rPr>
              <w:t>$0.717</w:t>
            </w:r>
          </w:p>
        </w:tc>
        <w:tc>
          <w:tcPr>
            <w:tcW w:type="dxa" w:w="1234"/>
          </w:tcPr>
          <w:p>
            <w:r>
              <w:rPr>
                <w:rFonts w:ascii="Calibri" w:hAnsi="Calibri"/>
                <w:sz w:val="22"/>
              </w:rPr>
              <w:t>$0.779</w:t>
            </w:r>
          </w:p>
        </w:tc>
        <w:tc>
          <w:tcPr>
            <w:tcW w:type="dxa" w:w="1234"/>
          </w:tcPr>
          <w:p>
            <w:r>
              <w:rPr>
                <w:rFonts w:ascii="Calibri" w:hAnsi="Calibri"/>
                <w:sz w:val="22"/>
              </w:rPr>
              <w:t>$0.865</w:t>
            </w:r>
          </w:p>
        </w:tc>
        <w:tc>
          <w:tcPr>
            <w:tcW w:type="dxa" w:w="1234"/>
          </w:tcPr>
          <w:p>
            <w:r>
              <w:rPr>
                <w:rFonts w:ascii="Calibri" w:hAnsi="Calibri"/>
                <w:sz w:val="22"/>
              </w:rPr>
              <w:t>+11.1% YoY</w:t>
            </w:r>
          </w:p>
        </w:tc>
        <w:tc>
          <w:tcPr>
            <w:tcW w:type="dxa" w:w="1234"/>
          </w:tcPr>
          <w:p>
            <w:r>
              <w:rPr>
                <w:rFonts w:ascii="Calibri" w:hAnsi="Calibri"/>
                <w:sz w:val="22"/>
              </w:rPr>
              <w:t>$3.15 – $3.25 (FY; mid: $3.20)</w:t>
            </w:r>
          </w:p>
        </w:tc>
        <w:tc>
          <w:tcPr>
            <w:tcW w:type="dxa" w:w="1234"/>
          </w:tcPr>
          <w:p>
            <w:r>
              <w:rPr>
                <w:rFonts w:ascii="Calibri" w:hAnsi="Calibri"/>
                <w:sz w:val="22"/>
              </w:rPr>
              <w:t>FY consensus $3.272 vs. $3.20 mid (+2.3%)</w:t>
            </w:r>
          </w:p>
        </w:tc>
      </w:tr>
      <w:tr>
        <w:tc>
          <w:tcPr>
            <w:tcW w:type="dxa" w:w="1234"/>
          </w:tcPr>
          <w:p>
            <w:r>
              <w:rPr>
                <w:rFonts w:ascii="Calibri" w:hAnsi="Calibri"/>
                <w:sz w:val="22"/>
              </w:rPr>
              <w:t>Gross Profit ($B)</w:t>
            </w:r>
          </w:p>
        </w:tc>
        <w:tc>
          <w:tcPr>
            <w:tcW w:type="dxa" w:w="1234"/>
          </w:tcPr>
          <w:p>
            <w:r>
              <w:rPr>
                <w:rFonts w:ascii="Calibri" w:hAnsi="Calibri"/>
                <w:sz w:val="22"/>
              </w:rPr>
              <w:t>$2.347B</w:t>
            </w:r>
          </w:p>
        </w:tc>
        <w:tc>
          <w:tcPr>
            <w:tcW w:type="dxa" w:w="1234"/>
          </w:tcPr>
          <w:p>
            <w:r>
              <w:rPr>
                <w:rFonts w:ascii="Calibri" w:hAnsi="Calibri"/>
                <w:sz w:val="22"/>
              </w:rPr>
              <w:t>$2.327B</w:t>
            </w:r>
          </w:p>
        </w:tc>
        <w:tc>
          <w:tcPr>
            <w:tcW w:type="dxa" w:w="1234"/>
          </w:tcPr>
          <w:p>
            <w:r>
              <w:rPr>
                <w:rFonts w:ascii="Calibri" w:hAnsi="Calibri"/>
                <w:sz w:val="22"/>
              </w:rPr>
              <w:t>$2.506B</w:t>
            </w:r>
          </w:p>
        </w:tc>
        <w:tc>
          <w:tcPr>
            <w:tcW w:type="dxa" w:w="1234"/>
          </w:tcPr>
          <w:p>
            <w:r>
              <w:rPr>
                <w:rFonts w:ascii="Calibri" w:hAnsi="Calibri"/>
                <w:sz w:val="22"/>
              </w:rPr>
              <w:t>+7.7% YoY</w:t>
            </w:r>
          </w:p>
        </w:tc>
        <w:tc>
          <w:tcPr>
            <w:tcW w:type="dxa" w:w="1234"/>
          </w:tcPr>
          <w:p>
            <w:r>
              <w:rPr>
                <w:rFonts w:ascii="Calibri" w:hAnsi="Calibri"/>
                <w:sz w:val="22"/>
              </w:rPr>
              <w:t>51.5% – 52.0% gross margin (FY)</w:t>
            </w:r>
          </w:p>
        </w:tc>
        <w:tc>
          <w:tcPr>
            <w:tcW w:type="dxa" w:w="1234"/>
          </w:tcPr>
          <w:p>
            <w:r>
              <w:rPr>
                <w:rFonts w:ascii="Calibri" w:hAnsi="Calibri"/>
                <w:sz w:val="22"/>
              </w:rPr>
              <w:t>Implied ~51.6% gross margin</w:t>
            </w:r>
          </w:p>
        </w:tc>
      </w:tr>
      <w:tr>
        <w:tc>
          <w:tcPr>
            <w:tcW w:type="dxa" w:w="1234"/>
          </w:tcPr>
          <w:p>
            <w:r>
              <w:rPr>
                <w:rFonts w:ascii="Calibri" w:hAnsi="Calibri"/>
                <w:sz w:val="22"/>
              </w:rPr>
              <w:t>Operating Income ($B)</w:t>
            </w:r>
          </w:p>
        </w:tc>
        <w:tc>
          <w:tcPr>
            <w:tcW w:type="dxa" w:w="1234"/>
          </w:tcPr>
          <w:p>
            <w:r>
              <w:rPr>
                <w:rFonts w:ascii="Calibri" w:hAnsi="Calibri"/>
                <w:sz w:val="22"/>
              </w:rPr>
              <w:t>$0.842B</w:t>
            </w:r>
          </w:p>
        </w:tc>
        <w:tc>
          <w:tcPr>
            <w:tcW w:type="dxa" w:w="1234"/>
          </w:tcPr>
          <w:p>
            <w:r>
              <w:rPr>
                <w:rFonts w:ascii="Calibri" w:hAnsi="Calibri"/>
                <w:sz w:val="22"/>
              </w:rPr>
              <w:t>$0.914B</w:t>
            </w:r>
          </w:p>
        </w:tc>
        <w:tc>
          <w:tcPr>
            <w:tcW w:type="dxa" w:w="1234"/>
          </w:tcPr>
          <w:p>
            <w:r>
              <w:rPr>
                <w:rFonts w:ascii="Calibri" w:hAnsi="Calibri"/>
                <w:sz w:val="22"/>
              </w:rPr>
              <w:t>$0.986B</w:t>
            </w:r>
          </w:p>
        </w:tc>
        <w:tc>
          <w:tcPr>
            <w:tcW w:type="dxa" w:w="1234"/>
          </w:tcPr>
          <w:p>
            <w:r>
              <w:rPr>
                <w:rFonts w:ascii="Calibri" w:hAnsi="Calibri"/>
                <w:sz w:val="22"/>
              </w:rPr>
              <w:t>+7.8% YoY</w:t>
            </w:r>
          </w:p>
        </w:tc>
        <w:tc>
          <w:tcPr>
            <w:tcW w:type="dxa" w:w="1234"/>
          </w:tcPr>
          <w:p>
            <w:r>
              <w:rPr>
                <w:rFonts w:ascii="Calibri" w:hAnsi="Calibri"/>
                <w:sz w:val="22"/>
              </w:rPr>
              <w:t>19.3% – 19.8% op. margin (FY)</w:t>
            </w:r>
          </w:p>
        </w:tc>
        <w:tc>
          <w:tcPr>
            <w:tcW w:type="dxa" w:w="1234"/>
          </w:tcPr>
          <w:p>
            <w:r>
              <w:rPr>
                <w:rFonts w:ascii="Calibri" w:hAnsi="Calibri"/>
                <w:sz w:val="22"/>
              </w:rPr>
              <w:t>Implied ~20.3% op. margin (above FY range)</w:t>
            </w:r>
          </w:p>
        </w:tc>
      </w:tr>
      <w:tr>
        <w:tc>
          <w:tcPr>
            <w:tcW w:type="dxa" w:w="1234"/>
          </w:tcPr>
          <w:p>
            <w:r>
              <w:rPr>
                <w:rFonts w:ascii="Calibri" w:hAnsi="Calibri"/>
                <w:sz w:val="22"/>
              </w:rPr>
              <w:t>Ending Store Count (#)</w:t>
            </w:r>
          </w:p>
        </w:tc>
        <w:tc>
          <w:tcPr>
            <w:tcW w:type="dxa" w:w="1234"/>
          </w:tcPr>
          <w:p>
            <w:r>
              <w:rPr>
                <w:rFonts w:ascii="Calibri" w:hAnsi="Calibri"/>
                <w:sz w:val="22"/>
              </w:rPr>
              <w:t>6,644</w:t>
            </w:r>
          </w:p>
        </w:tc>
        <w:tc>
          <w:tcPr>
            <w:tcW w:type="dxa" w:w="1234"/>
          </w:tcPr>
          <w:p>
            <w:r>
              <w:rPr>
                <w:rFonts w:ascii="Calibri" w:hAnsi="Calibri"/>
                <w:sz w:val="22"/>
              </w:rPr>
              <w:t>6,483</w:t>
            </w:r>
          </w:p>
        </w:tc>
        <w:tc>
          <w:tcPr>
            <w:tcW w:type="dxa" w:w="1234"/>
          </w:tcPr>
          <w:p>
            <w:r>
              <w:rPr>
                <w:rFonts w:ascii="Calibri" w:hAnsi="Calibri"/>
                <w:sz w:val="22"/>
              </w:rPr>
              <w:t>~6,702</w:t>
            </w:r>
          </w:p>
        </w:tc>
        <w:tc>
          <w:tcPr>
            <w:tcW w:type="dxa" w:w="1234"/>
          </w:tcPr>
          <w:p>
            <w:r>
              <w:rPr>
                <w:rFonts w:ascii="Calibri" w:hAnsi="Calibri"/>
                <w:sz w:val="22"/>
              </w:rPr>
              <w:t>+219 stores YoY (+3.4%)</w:t>
            </w:r>
          </w:p>
        </w:tc>
        <w:tc>
          <w:tcPr>
            <w:tcW w:type="dxa" w:w="1234"/>
          </w:tcPr>
          <w:p>
            <w:r>
              <w:rPr>
                <w:rFonts w:ascii="Calibri" w:hAnsi="Calibri"/>
                <w:sz w:val="22"/>
              </w:rPr>
              <w:t>225–235 net new stores (FY26)</w:t>
            </w:r>
          </w:p>
        </w:tc>
        <w:tc>
          <w:tcPr>
            <w:tcW w:type="dxa" w:w="1234"/>
          </w:tcPr>
          <w:p>
            <w:r>
              <w:rPr>
                <w:rFonts w:ascii="Calibri" w:hAnsi="Calibri"/>
                <w:sz w:val="22"/>
              </w:rPr>
              <w:t>On track</w:t>
            </w:r>
          </w:p>
        </w:tc>
      </w:tr>
    </w:tbl>
    <w:p>
      <w:r>
        <w:rPr>
          <w:rFonts w:ascii="Calibri" w:hAnsi="Calibri"/>
          <w:i/>
          <w:color w:val="525866"/>
          <w:sz w:val="22"/>
        </w:rPr>
        <w:t>Sources: Visible Alpha Consensus and Actuals Data. All consensus figures as of July 29, 2026. FY26 guidance from ORLY Q1 2026 earnings call (April 30, 2026). 1Q26 Actual = quarter ended March 31, 2026; 2Q25 Actual = quarter ended June 30, 2025.</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Comparable Store Sales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1Q26 (Mar 2026)</w:t>
            </w:r>
          </w:p>
        </w:tc>
        <w:tc>
          <w:tcPr>
            <w:tcW w:type="dxa" w:w="1728"/>
          </w:tcPr>
          <w:p>
            <w:r>
              <w:rPr>
                <w:rFonts w:ascii="Calibri" w:hAnsi="Calibri"/>
                <w:sz w:val="22"/>
              </w:rPr>
              <w:t>8.1%</w:t>
            </w:r>
          </w:p>
        </w:tc>
        <w:tc>
          <w:tcPr>
            <w:tcW w:type="dxa" w:w="1728"/>
          </w:tcPr>
          <w:p>
            <w:r>
              <w:rPr>
                <w:rFonts w:ascii="Calibri" w:hAnsi="Calibri"/>
                <w:sz w:val="22"/>
              </w:rPr>
              <w:t>5.39%</w:t>
            </w:r>
          </w:p>
        </w:tc>
        <w:tc>
          <w:tcPr>
            <w:tcW w:type="dxa" w:w="1728"/>
          </w:tcPr>
          <w:p>
            <w:r>
              <w:rPr>
                <w:rFonts w:ascii="Calibri" w:hAnsi="Calibri"/>
                <w:b/>
                <w:color w:val="30A46C"/>
                <w:sz w:val="22"/>
              </w:rPr>
              <w:t>+271 bps</w:t>
            </w:r>
          </w:p>
        </w:tc>
        <w:tc>
          <w:tcPr>
            <w:tcW w:type="dxa" w:w="1728"/>
          </w:tcPr>
          <w:p>
            <w:r>
              <w:rPr>
                <w:rFonts w:ascii="Calibri" w:hAnsi="Calibri"/>
                <w:sz w:val="22"/>
              </w:rPr>
              <w:t>✅ Beat</w:t>
            </w:r>
          </w:p>
        </w:tc>
      </w:tr>
      <w:tr>
        <w:tc>
          <w:tcPr>
            <w:tcW w:type="dxa" w:w="1728"/>
          </w:tcPr>
          <w:p>
            <w:r>
              <w:rPr>
                <w:rFonts w:ascii="Calibri" w:hAnsi="Calibri"/>
                <w:sz w:val="22"/>
              </w:rPr>
              <w:t>4Q25 (Dec 2025)</w:t>
            </w:r>
          </w:p>
        </w:tc>
        <w:tc>
          <w:tcPr>
            <w:tcW w:type="dxa" w:w="1728"/>
          </w:tcPr>
          <w:p>
            <w:r>
              <w:rPr>
                <w:rFonts w:ascii="Calibri" w:hAnsi="Calibri"/>
                <w:sz w:val="22"/>
              </w:rPr>
              <w:t>5.6%</w:t>
            </w:r>
          </w:p>
        </w:tc>
        <w:tc>
          <w:tcPr>
            <w:tcW w:type="dxa" w:w="1728"/>
          </w:tcPr>
          <w:p>
            <w:r>
              <w:rPr>
                <w:rFonts w:ascii="Calibri" w:hAnsi="Calibri"/>
                <w:sz w:val="22"/>
              </w:rPr>
              <w:t>5.04%</w:t>
            </w:r>
          </w:p>
        </w:tc>
        <w:tc>
          <w:tcPr>
            <w:tcW w:type="dxa" w:w="1728"/>
          </w:tcPr>
          <w:p>
            <w:r>
              <w:rPr>
                <w:rFonts w:ascii="Calibri" w:hAnsi="Calibri"/>
                <w:b/>
                <w:color w:val="30A46C"/>
                <w:sz w:val="22"/>
              </w:rPr>
              <w:t>+56 bps</w:t>
            </w:r>
          </w:p>
        </w:tc>
        <w:tc>
          <w:tcPr>
            <w:tcW w:type="dxa" w:w="1728"/>
          </w:tcPr>
          <w:p>
            <w:r>
              <w:rPr>
                <w:rFonts w:ascii="Calibri" w:hAnsi="Calibri"/>
                <w:sz w:val="22"/>
              </w:rPr>
              <w:t>✅ Beat</w:t>
            </w:r>
          </w:p>
        </w:tc>
      </w:tr>
      <w:tr>
        <w:tc>
          <w:tcPr>
            <w:tcW w:type="dxa" w:w="1728"/>
          </w:tcPr>
          <w:p>
            <w:r>
              <w:rPr>
                <w:rFonts w:ascii="Calibri" w:hAnsi="Calibri"/>
                <w:sz w:val="22"/>
              </w:rPr>
              <w:t>3Q25 (Sep 2025)</w:t>
            </w:r>
          </w:p>
        </w:tc>
        <w:tc>
          <w:tcPr>
            <w:tcW w:type="dxa" w:w="1728"/>
          </w:tcPr>
          <w:p>
            <w:r>
              <w:rPr>
                <w:rFonts w:ascii="Calibri" w:hAnsi="Calibri"/>
                <w:sz w:val="22"/>
              </w:rPr>
              <w:t>5.6%</w:t>
            </w:r>
          </w:p>
        </w:tc>
        <w:tc>
          <w:tcPr>
            <w:tcW w:type="dxa" w:w="1728"/>
          </w:tcPr>
          <w:p>
            <w:r>
              <w:rPr>
                <w:rFonts w:ascii="Calibri" w:hAnsi="Calibri"/>
                <w:sz w:val="22"/>
              </w:rPr>
              <w:t>4.74%</w:t>
            </w:r>
          </w:p>
        </w:tc>
        <w:tc>
          <w:tcPr>
            <w:tcW w:type="dxa" w:w="1728"/>
          </w:tcPr>
          <w:p>
            <w:r>
              <w:rPr>
                <w:rFonts w:ascii="Calibri" w:hAnsi="Calibri"/>
                <w:b/>
                <w:color w:val="30A46C"/>
                <w:sz w:val="22"/>
              </w:rPr>
              <w:t>+86 bps</w:t>
            </w:r>
          </w:p>
        </w:tc>
        <w:tc>
          <w:tcPr>
            <w:tcW w:type="dxa" w:w="1728"/>
          </w:tcPr>
          <w:p>
            <w:r>
              <w:rPr>
                <w:rFonts w:ascii="Calibri" w:hAnsi="Calibri"/>
                <w:sz w:val="22"/>
              </w:rPr>
              <w:t>✅ Beat</w:t>
            </w:r>
          </w:p>
        </w:tc>
      </w:tr>
      <w:tr>
        <w:tc>
          <w:tcPr>
            <w:tcW w:type="dxa" w:w="1728"/>
          </w:tcPr>
          <w:p>
            <w:r>
              <w:rPr>
                <w:rFonts w:ascii="Calibri" w:hAnsi="Calibri"/>
                <w:sz w:val="22"/>
              </w:rPr>
              <w:t>2Q25 (Jun 2025)</w:t>
            </w:r>
          </w:p>
        </w:tc>
        <w:tc>
          <w:tcPr>
            <w:tcW w:type="dxa" w:w="1728"/>
          </w:tcPr>
          <w:p>
            <w:r>
              <w:rPr>
                <w:rFonts w:ascii="Calibri" w:hAnsi="Calibri"/>
                <w:sz w:val="22"/>
              </w:rPr>
              <w:t>4.1%</w:t>
            </w:r>
          </w:p>
        </w:tc>
        <w:tc>
          <w:tcPr>
            <w:tcW w:type="dxa" w:w="1728"/>
          </w:tcPr>
          <w:p>
            <w:r>
              <w:rPr>
                <w:rFonts w:ascii="Calibri" w:hAnsi="Calibri"/>
                <w:sz w:val="22"/>
              </w:rPr>
              <w:t>3.74%</w:t>
            </w:r>
          </w:p>
        </w:tc>
        <w:tc>
          <w:tcPr>
            <w:tcW w:type="dxa" w:w="1728"/>
          </w:tcPr>
          <w:p>
            <w:r>
              <w:rPr>
                <w:rFonts w:ascii="Calibri" w:hAnsi="Calibri"/>
                <w:b/>
                <w:color w:val="30A46C"/>
                <w:sz w:val="22"/>
              </w:rPr>
              <w:t>+36 bps</w:t>
            </w:r>
          </w:p>
        </w:tc>
        <w:tc>
          <w:tcPr>
            <w:tcW w:type="dxa" w:w="1728"/>
          </w:tcPr>
          <w:p>
            <w:r>
              <w:rPr>
                <w:rFonts w:ascii="Calibri" w:hAnsi="Calibri"/>
                <w:sz w:val="22"/>
              </w:rPr>
              <w:t>✅ Beat</w:t>
            </w:r>
          </w:p>
        </w:tc>
      </w:tr>
      <w:tr>
        <w:tc>
          <w:tcPr>
            <w:tcW w:type="dxa" w:w="1728"/>
          </w:tcPr>
          <w:p>
            <w:r>
              <w:rPr>
                <w:rFonts w:ascii="Calibri" w:hAnsi="Calibri"/>
                <w:sz w:val="22"/>
              </w:rPr>
              <w:t>1Q25 (Mar 2025)</w:t>
            </w:r>
          </w:p>
        </w:tc>
        <w:tc>
          <w:tcPr>
            <w:tcW w:type="dxa" w:w="1728"/>
          </w:tcPr>
          <w:p>
            <w:r>
              <w:rPr>
                <w:rFonts w:ascii="Calibri" w:hAnsi="Calibri"/>
                <w:sz w:val="22"/>
              </w:rPr>
              <w:t>3.6%</w:t>
            </w:r>
          </w:p>
        </w:tc>
        <w:tc>
          <w:tcPr>
            <w:tcW w:type="dxa" w:w="1728"/>
          </w:tcPr>
          <w:p>
            <w:r>
              <w:rPr>
                <w:rFonts w:ascii="Calibri" w:hAnsi="Calibri"/>
                <w:sz w:val="22"/>
              </w:rPr>
              <w:t>2.87%</w:t>
            </w:r>
          </w:p>
        </w:tc>
        <w:tc>
          <w:tcPr>
            <w:tcW w:type="dxa" w:w="1728"/>
          </w:tcPr>
          <w:p>
            <w:r>
              <w:rPr>
                <w:rFonts w:ascii="Calibri" w:hAnsi="Calibri"/>
                <w:b/>
                <w:color w:val="30A46C"/>
                <w:sz w:val="22"/>
              </w:rPr>
              <w:t>+73 bps</w:t>
            </w:r>
          </w:p>
        </w:tc>
        <w:tc>
          <w:tcPr>
            <w:tcW w:type="dxa" w:w="1728"/>
          </w:tcPr>
          <w:p>
            <w:r>
              <w:rPr>
                <w:rFonts w:ascii="Calibri" w:hAnsi="Calibri"/>
                <w:sz w:val="22"/>
              </w:rPr>
              <w:t>✅ Beat</w:t>
            </w:r>
          </w:p>
        </w:tc>
      </w:tr>
      <w:tr>
        <w:tc>
          <w:tcPr>
            <w:tcW w:type="dxa" w:w="1728"/>
          </w:tcPr>
          <w:p>
            <w:r>
              <w:rPr>
                <w:rFonts w:ascii="Calibri" w:hAnsi="Calibri"/>
                <w:sz w:val="22"/>
              </w:rPr>
              <w:t>4Q24 (Dec 2024)</w:t>
            </w:r>
          </w:p>
        </w:tc>
        <w:tc>
          <w:tcPr>
            <w:tcW w:type="dxa" w:w="1728"/>
          </w:tcPr>
          <w:p>
            <w:r>
              <w:rPr>
                <w:rFonts w:ascii="Calibri" w:hAnsi="Calibri"/>
                <w:sz w:val="22"/>
              </w:rPr>
              <w:t>4.4%</w:t>
            </w:r>
          </w:p>
        </w:tc>
        <w:tc>
          <w:tcPr>
            <w:tcW w:type="dxa" w:w="1728"/>
          </w:tcPr>
          <w:p>
            <w:r>
              <w:rPr>
                <w:rFonts w:ascii="Calibri" w:hAnsi="Calibri"/>
                <w:sz w:val="22"/>
              </w:rPr>
              <w:t>2.84%</w:t>
            </w:r>
          </w:p>
        </w:tc>
        <w:tc>
          <w:tcPr>
            <w:tcW w:type="dxa" w:w="1728"/>
          </w:tcPr>
          <w:p>
            <w:r>
              <w:rPr>
                <w:rFonts w:ascii="Calibri" w:hAnsi="Calibri"/>
                <w:b/>
                <w:color w:val="30A46C"/>
                <w:sz w:val="22"/>
              </w:rPr>
              <w:t>+156 bps</w:t>
            </w:r>
          </w:p>
        </w:tc>
        <w:tc>
          <w:tcPr>
            <w:tcW w:type="dxa" w:w="1728"/>
          </w:tcPr>
          <w:p>
            <w:r>
              <w:rPr>
                <w:rFonts w:ascii="Calibri" w:hAnsi="Calibri"/>
                <w:sz w:val="22"/>
              </w:rPr>
              <w:t>✅ Beat</w:t>
            </w:r>
          </w:p>
        </w:tc>
      </w:tr>
      <w:tr>
        <w:tc>
          <w:tcPr>
            <w:tcW w:type="dxa" w:w="1728"/>
          </w:tcPr>
          <w:p>
            <w:r>
              <w:rPr>
                <w:rFonts w:ascii="Calibri" w:hAnsi="Calibri"/>
                <w:sz w:val="22"/>
              </w:rPr>
              <w:t>3Q24 (Sep 2024)</w:t>
            </w:r>
          </w:p>
        </w:tc>
        <w:tc>
          <w:tcPr>
            <w:tcW w:type="dxa" w:w="1728"/>
          </w:tcPr>
          <w:p>
            <w:r>
              <w:rPr>
                <w:rFonts w:ascii="Calibri" w:hAnsi="Calibri"/>
                <w:sz w:val="22"/>
              </w:rPr>
              <w:t>1.5%</w:t>
            </w:r>
          </w:p>
        </w:tc>
        <w:tc>
          <w:tcPr>
            <w:tcW w:type="dxa" w:w="1728"/>
          </w:tcPr>
          <w:p>
            <w:r>
              <w:rPr>
                <w:rFonts w:ascii="Calibri" w:hAnsi="Calibri"/>
                <w:sz w:val="22"/>
              </w:rPr>
              <w:t>2.56%</w:t>
            </w:r>
          </w:p>
        </w:tc>
        <w:tc>
          <w:tcPr>
            <w:tcW w:type="dxa" w:w="1728"/>
          </w:tcPr>
          <w:p>
            <w:r>
              <w:rPr>
                <w:rFonts w:ascii="Calibri" w:hAnsi="Calibri"/>
                <w:b/>
                <w:color w:val="E5484D"/>
                <w:sz w:val="22"/>
              </w:rPr>
              <w:t>−96 bps</w:t>
            </w:r>
          </w:p>
        </w:tc>
        <w:tc>
          <w:tcPr>
            <w:tcW w:type="dxa" w:w="1728"/>
          </w:tcPr>
          <w:p>
            <w:r>
              <w:rPr>
                <w:rFonts w:ascii="Calibri" w:hAnsi="Calibri"/>
                <w:sz w:val="22"/>
              </w:rPr>
              <w:t>❌ Miss</w:t>
            </w:r>
          </w:p>
        </w:tc>
      </w:tr>
      <w:tr>
        <w:tc>
          <w:tcPr>
            <w:tcW w:type="dxa" w:w="1728"/>
          </w:tcPr>
          <w:p>
            <w:r>
              <w:rPr>
                <w:rFonts w:ascii="Calibri" w:hAnsi="Calibri"/>
                <w:sz w:val="22"/>
              </w:rPr>
              <w:t>2Q24 (Jun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1Q26 (Mar 2026)</w:t>
            </w:r>
          </w:p>
        </w:tc>
        <w:tc>
          <w:tcPr>
            <w:tcW w:type="dxa" w:w="1728"/>
          </w:tcPr>
          <w:p>
            <w:r>
              <w:rPr>
                <w:rFonts w:ascii="Calibri" w:hAnsi="Calibri"/>
                <w:sz w:val="22"/>
              </w:rPr>
              <w:t>$0.717</w:t>
            </w:r>
          </w:p>
        </w:tc>
        <w:tc>
          <w:tcPr>
            <w:tcW w:type="dxa" w:w="1728"/>
          </w:tcPr>
          <w:p>
            <w:r>
              <w:rPr>
                <w:rFonts w:ascii="Calibri" w:hAnsi="Calibri"/>
                <w:sz w:val="22"/>
              </w:rPr>
              <w:t>$0.695</w:t>
            </w:r>
          </w:p>
        </w:tc>
        <w:tc>
          <w:tcPr>
            <w:tcW w:type="dxa" w:w="1728"/>
          </w:tcPr>
          <w:p>
            <w:r>
              <w:rPr>
                <w:rFonts w:ascii="Calibri" w:hAnsi="Calibri"/>
                <w:b/>
                <w:color w:val="30A46C"/>
                <w:sz w:val="22"/>
              </w:rPr>
              <w:t>+3.2%</w:t>
            </w:r>
          </w:p>
        </w:tc>
        <w:tc>
          <w:tcPr>
            <w:tcW w:type="dxa" w:w="1728"/>
          </w:tcPr>
          <w:p>
            <w:r>
              <w:rPr>
                <w:rFonts w:ascii="Calibri" w:hAnsi="Calibri"/>
                <w:sz w:val="22"/>
              </w:rPr>
              <w:t>✅ Beat</w:t>
            </w:r>
          </w:p>
        </w:tc>
      </w:tr>
      <w:tr>
        <w:tc>
          <w:tcPr>
            <w:tcW w:type="dxa" w:w="1728"/>
          </w:tcPr>
          <w:p>
            <w:r>
              <w:rPr>
                <w:rFonts w:ascii="Calibri" w:hAnsi="Calibri"/>
                <w:sz w:val="22"/>
              </w:rPr>
              <w:t>4Q25 (Dec 2025)</w:t>
            </w:r>
          </w:p>
        </w:tc>
        <w:tc>
          <w:tcPr>
            <w:tcW w:type="dxa" w:w="1728"/>
          </w:tcPr>
          <w:p>
            <w:r>
              <w:rPr>
                <w:rFonts w:ascii="Calibri" w:hAnsi="Calibri"/>
                <w:sz w:val="22"/>
              </w:rPr>
              <w:t>$0.713</w:t>
            </w:r>
          </w:p>
        </w:tc>
        <w:tc>
          <w:tcPr>
            <w:tcW w:type="dxa" w:w="1728"/>
          </w:tcPr>
          <w:p>
            <w:r>
              <w:rPr>
                <w:rFonts w:ascii="Calibri" w:hAnsi="Calibri"/>
                <w:sz w:val="22"/>
              </w:rPr>
              <w:t>$0.732</w:t>
            </w:r>
          </w:p>
        </w:tc>
        <w:tc>
          <w:tcPr>
            <w:tcW w:type="dxa" w:w="1728"/>
          </w:tcPr>
          <w:p>
            <w:r>
              <w:rPr>
                <w:rFonts w:ascii="Calibri" w:hAnsi="Calibri"/>
                <w:b/>
                <w:color w:val="E5484D"/>
                <w:sz w:val="22"/>
              </w:rPr>
              <w:t>−2.6%</w:t>
            </w:r>
          </w:p>
        </w:tc>
        <w:tc>
          <w:tcPr>
            <w:tcW w:type="dxa" w:w="1728"/>
          </w:tcPr>
          <w:p>
            <w:r>
              <w:rPr>
                <w:rFonts w:ascii="Calibri" w:hAnsi="Calibri"/>
                <w:sz w:val="22"/>
              </w:rPr>
              <w:t>❌ Miss</w:t>
            </w:r>
          </w:p>
        </w:tc>
      </w:tr>
      <w:tr>
        <w:tc>
          <w:tcPr>
            <w:tcW w:type="dxa" w:w="1728"/>
          </w:tcPr>
          <w:p>
            <w:r>
              <w:rPr>
                <w:rFonts w:ascii="Calibri" w:hAnsi="Calibri"/>
                <w:sz w:val="22"/>
              </w:rPr>
              <w:t>3Q25 (Sep 2025)</w:t>
            </w:r>
          </w:p>
        </w:tc>
        <w:tc>
          <w:tcPr>
            <w:tcW w:type="dxa" w:w="1728"/>
          </w:tcPr>
          <w:p>
            <w:r>
              <w:rPr>
                <w:rFonts w:ascii="Calibri" w:hAnsi="Calibri"/>
                <w:sz w:val="22"/>
              </w:rPr>
              <w:t>$0.851</w:t>
            </w:r>
          </w:p>
        </w:tc>
        <w:tc>
          <w:tcPr>
            <w:tcW w:type="dxa" w:w="1728"/>
          </w:tcPr>
          <w:p>
            <w:r>
              <w:rPr>
                <w:rFonts w:ascii="Calibri" w:hAnsi="Calibri"/>
                <w:sz w:val="22"/>
              </w:rPr>
              <w:t>$0.832</w:t>
            </w:r>
          </w:p>
        </w:tc>
        <w:tc>
          <w:tcPr>
            <w:tcW w:type="dxa" w:w="1728"/>
          </w:tcPr>
          <w:p>
            <w:r>
              <w:rPr>
                <w:rFonts w:ascii="Calibri" w:hAnsi="Calibri"/>
                <w:b/>
                <w:color w:val="30A46C"/>
                <w:sz w:val="22"/>
              </w:rPr>
              <w:t>+2.3%</w:t>
            </w:r>
          </w:p>
        </w:tc>
        <w:tc>
          <w:tcPr>
            <w:tcW w:type="dxa" w:w="1728"/>
          </w:tcPr>
          <w:p>
            <w:r>
              <w:rPr>
                <w:rFonts w:ascii="Calibri" w:hAnsi="Calibri"/>
                <w:sz w:val="22"/>
              </w:rPr>
              <w:t>✅ Beat</w:t>
            </w:r>
          </w:p>
        </w:tc>
      </w:tr>
      <w:tr>
        <w:tc>
          <w:tcPr>
            <w:tcW w:type="dxa" w:w="1728"/>
          </w:tcPr>
          <w:p>
            <w:r>
              <w:rPr>
                <w:rFonts w:ascii="Calibri" w:hAnsi="Calibri"/>
                <w:sz w:val="22"/>
              </w:rPr>
              <w:t>2Q25 (Jun 2025)</w:t>
            </w:r>
          </w:p>
        </w:tc>
        <w:tc>
          <w:tcPr>
            <w:tcW w:type="dxa" w:w="1728"/>
          </w:tcPr>
          <w:p>
            <w:r>
              <w:rPr>
                <w:rFonts w:ascii="Calibri" w:hAnsi="Calibri"/>
                <w:sz w:val="22"/>
              </w:rPr>
              <w:t>$0.779</w:t>
            </w:r>
          </w:p>
        </w:tc>
        <w:tc>
          <w:tcPr>
            <w:tcW w:type="dxa" w:w="1728"/>
          </w:tcPr>
          <w:p>
            <w:r>
              <w:rPr>
                <w:rFonts w:ascii="Calibri" w:hAnsi="Calibri"/>
                <w:sz w:val="22"/>
              </w:rPr>
              <w:t>$0.778</w:t>
            </w:r>
          </w:p>
        </w:tc>
        <w:tc>
          <w:tcPr>
            <w:tcW w:type="dxa" w:w="1728"/>
          </w:tcPr>
          <w:p>
            <w:r>
              <w:rPr>
                <w:rFonts w:ascii="Calibri" w:hAnsi="Calibri"/>
                <w:b/>
                <w:color w:val="30A46C"/>
                <w:sz w:val="22"/>
              </w:rPr>
              <w:t>+0.1%</w:t>
            </w:r>
          </w:p>
        </w:tc>
        <w:tc>
          <w:tcPr>
            <w:tcW w:type="dxa" w:w="1728"/>
          </w:tcPr>
          <w:p>
            <w:r>
              <w:rPr>
                <w:rFonts w:ascii="Calibri" w:hAnsi="Calibri"/>
                <w:sz w:val="22"/>
              </w:rPr>
              <w:t>✅ Beat</w:t>
            </w:r>
          </w:p>
        </w:tc>
      </w:tr>
      <w:tr>
        <w:tc>
          <w:tcPr>
            <w:tcW w:type="dxa" w:w="1728"/>
          </w:tcPr>
          <w:p>
            <w:r>
              <w:rPr>
                <w:rFonts w:ascii="Calibri" w:hAnsi="Calibri"/>
                <w:sz w:val="22"/>
              </w:rPr>
              <w:t>1Q25 (Mar 2025)</w:t>
            </w:r>
          </w:p>
        </w:tc>
        <w:tc>
          <w:tcPr>
            <w:tcW w:type="dxa" w:w="1728"/>
          </w:tcPr>
          <w:p>
            <w:r>
              <w:rPr>
                <w:rFonts w:ascii="Calibri" w:hAnsi="Calibri"/>
                <w:sz w:val="22"/>
              </w:rPr>
              <w:t>$0.623</w:t>
            </w:r>
          </w:p>
        </w:tc>
        <w:tc>
          <w:tcPr>
            <w:tcW w:type="dxa" w:w="1728"/>
          </w:tcPr>
          <w:p>
            <w:r>
              <w:rPr>
                <w:rFonts w:ascii="Calibri" w:hAnsi="Calibri"/>
                <w:sz w:val="22"/>
              </w:rPr>
              <w:t>$0.655</w:t>
            </w:r>
          </w:p>
        </w:tc>
        <w:tc>
          <w:tcPr>
            <w:tcW w:type="dxa" w:w="1728"/>
          </w:tcPr>
          <w:p>
            <w:r>
              <w:rPr>
                <w:rFonts w:ascii="Calibri" w:hAnsi="Calibri"/>
                <w:b/>
                <w:color w:val="E5484D"/>
                <w:sz w:val="22"/>
              </w:rPr>
              <w:t>−4.9%</w:t>
            </w:r>
          </w:p>
        </w:tc>
        <w:tc>
          <w:tcPr>
            <w:tcW w:type="dxa" w:w="1728"/>
          </w:tcPr>
          <w:p>
            <w:r>
              <w:rPr>
                <w:rFonts w:ascii="Calibri" w:hAnsi="Calibri"/>
                <w:sz w:val="22"/>
              </w:rPr>
              <w:t>❌ Miss</w:t>
            </w:r>
          </w:p>
        </w:tc>
      </w:tr>
      <w:tr>
        <w:tc>
          <w:tcPr>
            <w:tcW w:type="dxa" w:w="1728"/>
          </w:tcPr>
          <w:p>
            <w:r>
              <w:rPr>
                <w:rFonts w:ascii="Calibri" w:hAnsi="Calibri"/>
                <w:sz w:val="22"/>
              </w:rPr>
              <w:t>4Q24 (Dec 2024)</w:t>
            </w:r>
          </w:p>
        </w:tc>
        <w:tc>
          <w:tcPr>
            <w:tcW w:type="dxa" w:w="1728"/>
          </w:tcPr>
          <w:p>
            <w:r>
              <w:rPr>
                <w:rFonts w:ascii="Calibri" w:hAnsi="Calibri"/>
                <w:sz w:val="22"/>
              </w:rPr>
              <w:t>$0.634</w:t>
            </w:r>
          </w:p>
        </w:tc>
        <w:tc>
          <w:tcPr>
            <w:tcW w:type="dxa" w:w="1728"/>
          </w:tcPr>
          <w:p>
            <w:r>
              <w:rPr>
                <w:rFonts w:ascii="Calibri" w:hAnsi="Calibri"/>
                <w:sz w:val="22"/>
              </w:rPr>
              <w:t>$0.650</w:t>
            </w:r>
          </w:p>
        </w:tc>
        <w:tc>
          <w:tcPr>
            <w:tcW w:type="dxa" w:w="1728"/>
          </w:tcPr>
          <w:p>
            <w:r>
              <w:rPr>
                <w:rFonts w:ascii="Calibri" w:hAnsi="Calibri"/>
                <w:b/>
                <w:color w:val="E5484D"/>
                <w:sz w:val="22"/>
              </w:rPr>
              <w:t>−2.5%</w:t>
            </w:r>
          </w:p>
        </w:tc>
        <w:tc>
          <w:tcPr>
            <w:tcW w:type="dxa" w:w="1728"/>
          </w:tcPr>
          <w:p>
            <w:r>
              <w:rPr>
                <w:rFonts w:ascii="Calibri" w:hAnsi="Calibri"/>
                <w:sz w:val="22"/>
              </w:rPr>
              <w:t>❌ Miss</w:t>
            </w:r>
          </w:p>
        </w:tc>
      </w:tr>
      <w:tr>
        <w:tc>
          <w:tcPr>
            <w:tcW w:type="dxa" w:w="1728"/>
          </w:tcPr>
          <w:p>
            <w:r>
              <w:rPr>
                <w:rFonts w:ascii="Calibri" w:hAnsi="Calibri"/>
                <w:sz w:val="22"/>
              </w:rPr>
              <w:t>3Q24 (Sep 2024)</w:t>
            </w:r>
          </w:p>
        </w:tc>
        <w:tc>
          <w:tcPr>
            <w:tcW w:type="dxa" w:w="1728"/>
          </w:tcPr>
          <w:p>
            <w:r>
              <w:rPr>
                <w:rFonts w:ascii="Calibri" w:hAnsi="Calibri"/>
                <w:sz w:val="22"/>
              </w:rPr>
              <w:t>$0.761</w:t>
            </w:r>
          </w:p>
        </w:tc>
        <w:tc>
          <w:tcPr>
            <w:tcW w:type="dxa" w:w="1728"/>
          </w:tcPr>
          <w:p>
            <w:r>
              <w:rPr>
                <w:rFonts w:ascii="Calibri" w:hAnsi="Calibri"/>
                <w:sz w:val="22"/>
              </w:rPr>
              <w:t>$0.765</w:t>
            </w:r>
          </w:p>
        </w:tc>
        <w:tc>
          <w:tcPr>
            <w:tcW w:type="dxa" w:w="1728"/>
          </w:tcPr>
          <w:p>
            <w:r>
              <w:rPr>
                <w:rFonts w:ascii="Calibri" w:hAnsi="Calibri"/>
                <w:sz w:val="22"/>
              </w:rPr>
              <w:t>−0.5%</w:t>
            </w:r>
          </w:p>
        </w:tc>
        <w:tc>
          <w:tcPr>
            <w:tcW w:type="dxa" w:w="1728"/>
          </w:tcPr>
          <w:p>
            <w:r>
              <w:rPr>
                <w:rFonts w:ascii="Calibri" w:hAnsi="Calibri"/>
                <w:sz w:val="22"/>
              </w:rPr>
              <w:t>❌ Slight Miss</w:t>
            </w:r>
          </w:p>
        </w:tc>
      </w:tr>
      <w:tr>
        <w:tc>
          <w:tcPr>
            <w:tcW w:type="dxa" w:w="1728"/>
          </w:tcPr>
          <w:p>
            <w:r>
              <w:rPr>
                <w:rFonts w:ascii="Calibri" w:hAnsi="Calibri"/>
                <w:sz w:val="22"/>
              </w:rPr>
              <w:t>2Q24 (Jun 2024)</w:t>
            </w:r>
          </w:p>
        </w:tc>
        <w:tc>
          <w:tcPr>
            <w:tcW w:type="dxa" w:w="1728"/>
          </w:tcPr>
          <w:p>
            <w:r>
              <w:rPr>
                <w:rFonts w:ascii="Calibri" w:hAnsi="Calibri"/>
                <w:sz w:val="22"/>
              </w:rPr>
              <w:t>N/A — pre-8Q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ORLY has beaten the comparable store sales consensus in 6 of the last 7 reported quarters, with the sole miss in 3Q24 (1.5% vs. 2.6% expected). On EPS, the record is more mixed — 3 beats and 3 misses in the last 6 quarters — reflecting SG&amp;A cost volatility (healthcare, self-insurance) that has periodically offset top-line strength. The comp beat rate is the more reliable signal heading into 2Q26.</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has not issued any formal guidance revision since the Q1 2026 earnings call on April 30, 2026. The baseline remains the full-year framework set at that call, with the only change being a 10 bps raise to the operating margin range. Tone is cautiously optimistic — Q1 strength acknowledged, but management explicitly chose not to raise the comp range, citing fuel price and consumer uncertainty.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Comparable Store Sales (FY26)</w:t>
            </w:r>
          </w:p>
        </w:tc>
        <w:tc>
          <w:tcPr>
            <w:tcW w:type="dxa" w:w="1728"/>
          </w:tcPr>
          <w:p>
            <w:r>
              <w:rPr>
                <w:rFonts w:ascii="Calibri" w:hAnsi="Calibri"/>
                <w:sz w:val="22"/>
              </w:rPr>
              <w:t>3.0% – 5.0%</w:t>
            </w:r>
          </w:p>
        </w:tc>
        <w:tc>
          <w:tcPr>
            <w:tcW w:type="dxa" w:w="1728"/>
          </w:tcPr>
          <w:p>
            <w:r>
              <w:rPr>
                <w:rFonts w:ascii="Calibri" w:hAnsi="Calibri"/>
                <w:sz w:val="22"/>
              </w:rPr>
              <w:t>—</w:t>
            </w:r>
          </w:p>
        </w:tc>
        <w:tc>
          <w:tcPr>
            <w:tcW w:type="dxa" w:w="1728"/>
          </w:tcPr>
          <w:p>
            <w:r>
              <w:rPr>
                <w:rFonts w:ascii="Calibri" w:hAnsi="Calibri"/>
                <w:sz w:val="22"/>
              </w:rPr>
              <w:t>~5.05% (FY)</w:t>
            </w:r>
          </w:p>
        </w:tc>
        <w:tc>
          <w:tcPr>
            <w:tcW w:type="dxa" w:w="1728"/>
          </w:tcPr>
          <w:p>
            <w:r>
              <w:rPr>
                <w:rFonts w:ascii="Calibri" w:hAnsi="Calibri"/>
                <w:sz w:val="22"/>
              </w:rPr>
              <w:t>Unchanged; mgmt noted Q1 results push toward top half of range but declined to raise; fuel price risk cited</w:t>
            </w:r>
          </w:p>
        </w:tc>
      </w:tr>
      <w:tr>
        <w:tc>
          <w:tcPr>
            <w:tcW w:type="dxa" w:w="1728"/>
          </w:tcPr>
          <w:p>
            <w:r>
              <w:rPr>
                <w:rFonts w:ascii="Calibri" w:hAnsi="Calibri"/>
                <w:sz w:val="22"/>
              </w:rPr>
              <w:t>Total Revenue (FY26)</w:t>
            </w:r>
          </w:p>
        </w:tc>
        <w:tc>
          <w:tcPr>
            <w:tcW w:type="dxa" w:w="1728"/>
          </w:tcPr>
          <w:p>
            <w:r>
              <w:rPr>
                <w:rFonts w:ascii="Calibri" w:hAnsi="Calibri"/>
                <w:sz w:val="22"/>
              </w:rPr>
              <w:t>$18.7B – $19.0B</w:t>
            </w:r>
          </w:p>
        </w:tc>
        <w:tc>
          <w:tcPr>
            <w:tcW w:type="dxa" w:w="1728"/>
          </w:tcPr>
          <w:p>
            <w:r>
              <w:rPr>
                <w:rFonts w:ascii="Calibri" w:hAnsi="Calibri"/>
                <w:sz w:val="22"/>
              </w:rPr>
              <w:t>—</w:t>
            </w:r>
          </w:p>
        </w:tc>
        <w:tc>
          <w:tcPr>
            <w:tcW w:type="dxa" w:w="1728"/>
          </w:tcPr>
          <w:p>
            <w:r>
              <w:rPr>
                <w:rFonts w:ascii="Calibri" w:hAnsi="Calibri"/>
                <w:sz w:val="22"/>
              </w:rPr>
              <w:t>$19.05B</w:t>
            </w:r>
          </w:p>
        </w:tc>
        <w:tc>
          <w:tcPr>
            <w:tcW w:type="dxa" w:w="1728"/>
          </w:tcPr>
          <w:p>
            <w:r>
              <w:rPr>
                <w:rFonts w:ascii="Calibri" w:hAnsi="Calibri"/>
                <w:sz w:val="22"/>
              </w:rPr>
              <w:t>Unchanged; consensus sits just above the top of the range</w:t>
            </w:r>
          </w:p>
        </w:tc>
      </w:tr>
      <w:tr>
        <w:tc>
          <w:tcPr>
            <w:tcW w:type="dxa" w:w="1728"/>
          </w:tcPr>
          <w:p>
            <w:r>
              <w:rPr>
                <w:rFonts w:ascii="Calibri" w:hAnsi="Calibri"/>
                <w:sz w:val="22"/>
              </w:rPr>
              <w:t>Diluted Operating EPS (FY26)</w:t>
            </w:r>
          </w:p>
        </w:tc>
        <w:tc>
          <w:tcPr>
            <w:tcW w:type="dxa" w:w="1728"/>
          </w:tcPr>
          <w:p>
            <w:r>
              <w:rPr>
                <w:rFonts w:ascii="Calibri" w:hAnsi="Calibri"/>
                <w:sz w:val="22"/>
              </w:rPr>
              <w:t>$3.15 – $3.25</w:t>
            </w:r>
          </w:p>
        </w:tc>
        <w:tc>
          <w:tcPr>
            <w:tcW w:type="dxa" w:w="1728"/>
          </w:tcPr>
          <w:p>
            <w:r>
              <w:rPr>
                <w:rFonts w:ascii="Calibri" w:hAnsi="Calibri"/>
                <w:sz w:val="22"/>
              </w:rPr>
              <w:t>—</w:t>
            </w:r>
          </w:p>
        </w:tc>
        <w:tc>
          <w:tcPr>
            <w:tcW w:type="dxa" w:w="1728"/>
          </w:tcPr>
          <w:p>
            <w:r>
              <w:rPr>
                <w:rFonts w:ascii="Calibri" w:hAnsi="Calibri"/>
                <w:sz w:val="22"/>
              </w:rPr>
              <w:t>$3.272</w:t>
            </w:r>
          </w:p>
        </w:tc>
        <w:tc>
          <w:tcPr>
            <w:tcW w:type="dxa" w:w="1728"/>
          </w:tcPr>
          <w:p>
            <w:r>
              <w:rPr>
                <w:rFonts w:ascii="Calibri" w:hAnsi="Calibri"/>
                <w:sz w:val="22"/>
              </w:rPr>
              <w:t>Raised at Q1 earnings from prior $3.05–$3.15 range; consensus sits above the new midpoint ($3.20)</w:t>
            </w:r>
          </w:p>
        </w:tc>
      </w:tr>
      <w:tr>
        <w:tc>
          <w:tcPr>
            <w:tcW w:type="dxa" w:w="1728"/>
          </w:tcPr>
          <w:p>
            <w:r>
              <w:rPr>
                <w:rFonts w:ascii="Calibri" w:hAnsi="Calibri"/>
                <w:sz w:val="22"/>
              </w:rPr>
              <w:t>Gross Margin (FY26)</w:t>
            </w:r>
          </w:p>
        </w:tc>
        <w:tc>
          <w:tcPr>
            <w:tcW w:type="dxa" w:w="1728"/>
          </w:tcPr>
          <w:p>
            <w:r>
              <w:rPr>
                <w:rFonts w:ascii="Calibri" w:hAnsi="Calibri"/>
                <w:sz w:val="22"/>
              </w:rPr>
              <w:t>51.5% – 52.0%</w:t>
            </w:r>
          </w:p>
        </w:tc>
        <w:tc>
          <w:tcPr>
            <w:tcW w:type="dxa" w:w="1728"/>
          </w:tcPr>
          <w:p>
            <w:r>
              <w:rPr>
                <w:rFonts w:ascii="Calibri" w:hAnsi="Calibri"/>
                <w:sz w:val="22"/>
              </w:rPr>
              <w:t>—</w:t>
            </w:r>
          </w:p>
        </w:tc>
        <w:tc>
          <w:tcPr>
            <w:tcW w:type="dxa" w:w="1728"/>
          </w:tcPr>
          <w:p>
            <w:r>
              <w:rPr>
                <w:rFonts w:ascii="Calibri" w:hAnsi="Calibri"/>
                <w:sz w:val="22"/>
              </w:rPr>
              <w:t>~51.6% (implied from consensus gross profit / revenue)</w:t>
            </w:r>
          </w:p>
        </w:tc>
        <w:tc>
          <w:tcPr>
            <w:tcW w:type="dxa" w:w="1728"/>
          </w:tcPr>
          <w:p>
            <w:r>
              <w:rPr>
                <w:rFonts w:ascii="Calibri" w:hAnsi="Calibri"/>
                <w:sz w:val="22"/>
              </w:rPr>
              <w:t>Unchanged; Iran conflict / oil supply risk flagged as potential headwind but no material Q1 impact</w:t>
            </w:r>
          </w:p>
        </w:tc>
      </w:tr>
      <w:tr>
        <w:tc>
          <w:tcPr>
            <w:tcW w:type="dxa" w:w="1728"/>
          </w:tcPr>
          <w:p>
            <w:r>
              <w:rPr>
                <w:rFonts w:ascii="Calibri" w:hAnsi="Calibri"/>
                <w:sz w:val="22"/>
              </w:rPr>
              <w:t>Operating Margin (FY26)</w:t>
            </w:r>
          </w:p>
        </w:tc>
        <w:tc>
          <w:tcPr>
            <w:tcW w:type="dxa" w:w="1728"/>
          </w:tcPr>
          <w:p>
            <w:r>
              <w:rPr>
                <w:rFonts w:ascii="Calibri" w:hAnsi="Calibri"/>
                <w:sz w:val="22"/>
              </w:rPr>
              <w:t>19.3% – 19.8%</w:t>
            </w:r>
          </w:p>
        </w:tc>
        <w:tc>
          <w:tcPr>
            <w:tcW w:type="dxa" w:w="1728"/>
          </w:tcPr>
          <w:p>
            <w:r>
              <w:rPr>
                <w:rFonts w:ascii="Calibri" w:hAnsi="Calibri"/>
                <w:sz w:val="22"/>
              </w:rPr>
              <w:t>—</w:t>
            </w:r>
          </w:p>
        </w:tc>
        <w:tc>
          <w:tcPr>
            <w:tcW w:type="dxa" w:w="1728"/>
          </w:tcPr>
          <w:p>
            <w:r>
              <w:rPr>
                <w:rFonts w:ascii="Calibri" w:hAnsi="Calibri"/>
                <w:sz w:val="22"/>
              </w:rPr>
              <w:t>~20.3% (implied from consensus op. income / revenue)</w:t>
            </w:r>
          </w:p>
        </w:tc>
        <w:tc>
          <w:tcPr>
            <w:tcW w:type="dxa" w:w="1728"/>
          </w:tcPr>
          <w:p>
            <w:r>
              <w:rPr>
                <w:rFonts w:ascii="Calibri" w:hAnsi="Calibri"/>
                <w:sz w:val="22"/>
              </w:rPr>
              <w:t>↑ Raised 10 bps at Q1 earnings (prior: 19.2%–19.7%); consensus above top of range, suggesting Street expects further upside</w:t>
            </w:r>
          </w:p>
        </w:tc>
      </w:tr>
      <w:tr>
        <w:tc>
          <w:tcPr>
            <w:tcW w:type="dxa" w:w="1728"/>
          </w:tcPr>
          <w:p>
            <w:r>
              <w:rPr>
                <w:rFonts w:ascii="Calibri" w:hAnsi="Calibri"/>
                <w:sz w:val="22"/>
              </w:rPr>
              <w:t>SG&amp;A per Store Growth (FY26)</w:t>
            </w:r>
          </w:p>
        </w:tc>
        <w:tc>
          <w:tcPr>
            <w:tcW w:type="dxa" w:w="1728"/>
          </w:tcPr>
          <w:p>
            <w:r>
              <w:rPr>
                <w:rFonts w:ascii="Calibri" w:hAnsi="Calibri"/>
                <w:sz w:val="22"/>
              </w:rPr>
              <w:t>~3% – 4% (Q1 highest at 5.5%)</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mgmt expects meaningful moderation as year progresses; key cost lever to watch</w:t>
            </w:r>
          </w:p>
        </w:tc>
      </w:tr>
      <w:tr>
        <w:tc>
          <w:tcPr>
            <w:tcW w:type="dxa" w:w="1728"/>
          </w:tcPr>
          <w:p>
            <w:r>
              <w:rPr>
                <w:rFonts w:ascii="Calibri" w:hAnsi="Calibri"/>
                <w:sz w:val="22"/>
              </w:rPr>
              <w:t>Net New Stores (FY26)</w:t>
            </w:r>
          </w:p>
        </w:tc>
        <w:tc>
          <w:tcPr>
            <w:tcW w:type="dxa" w:w="1728"/>
          </w:tcPr>
          <w:p>
            <w:r>
              <w:rPr>
                <w:rFonts w:ascii="Calibri" w:hAnsi="Calibri"/>
                <w:sz w:val="22"/>
              </w:rPr>
              <w:t>225 – 235</w:t>
            </w:r>
          </w:p>
        </w:tc>
        <w:tc>
          <w:tcPr>
            <w:tcW w:type="dxa" w:w="1728"/>
          </w:tcPr>
          <w:p>
            <w:r>
              <w:rPr>
                <w:rFonts w:ascii="Calibri" w:hAnsi="Calibri"/>
                <w:sz w:val="22"/>
              </w:rPr>
              <w:t>—</w:t>
            </w:r>
          </w:p>
        </w:tc>
        <w:tc>
          <w:tcPr>
            <w:tcW w:type="dxa" w:w="1728"/>
          </w:tcPr>
          <w:p>
            <w:r>
              <w:rPr>
                <w:rFonts w:ascii="Calibri" w:hAnsi="Calibri"/>
                <w:sz w:val="22"/>
              </w:rPr>
              <w:t>~6,702 ending stores (consensus)</w:t>
            </w:r>
          </w:p>
        </w:tc>
        <w:tc>
          <w:tcPr>
            <w:tcW w:type="dxa" w:w="1728"/>
          </w:tcPr>
          <w:p>
            <w:r>
              <w:rPr>
                <w:rFonts w:ascii="Calibri" w:hAnsi="Calibri"/>
                <w:sz w:val="22"/>
              </w:rPr>
              <w:t>Unchanged; raised from 200–210 at prior earnings; Virginia DC unlocking Northeast expansion</w:t>
            </w:r>
          </w:p>
        </w:tc>
      </w:tr>
    </w:tbl>
    <w:p>
      <w:r>
        <w:rPr>
          <w:rFonts w:ascii="Calibri" w:hAnsi="Calibri"/>
          <w:i/>
          <w:color w:val="525866"/>
          <w:sz w:val="22"/>
        </w:rPr>
        <w:t>Source: ORLY Q1 2026 Earnings Call transcript (April 30,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2Q26 EPS up ~0.3% and FY26 EPS up ~0.3% — suggesting the Street is not aggressively chasing the Q1 beat. Consensus sits above the FY guidance midpoint on EPS and revenue, implying the Street expects ORLY to outperform its own guidance, which is consistent with the company's historical pattern of conservative guidance-setting.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Estimate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Comp Store Sales % (2Q26)</w:t>
            </w:r>
          </w:p>
        </w:tc>
        <w:tc>
          <w:tcPr>
            <w:tcW w:type="dxa" w:w="1080"/>
          </w:tcPr>
          <w:p>
            <w:r>
              <w:rPr>
                <w:rFonts w:ascii="Calibri" w:hAnsi="Calibri"/>
                <w:sz w:val="22"/>
              </w:rPr>
              <w:t>5.12%</w:t>
            </w:r>
          </w:p>
        </w:tc>
        <w:tc>
          <w:tcPr>
            <w:tcW w:type="dxa" w:w="1080"/>
          </w:tcPr>
          <w:p>
            <w:r>
              <w:rPr>
                <w:rFonts w:ascii="Calibri" w:hAnsi="Calibri"/>
                <w:sz w:val="22"/>
              </w:rPr>
              <w:t>5.19%</w:t>
            </w:r>
          </w:p>
        </w:tc>
        <w:tc>
          <w:tcPr>
            <w:tcW w:type="dxa" w:w="1080"/>
          </w:tcPr>
          <w:p>
            <w:r>
              <w:rPr>
                <w:rFonts w:ascii="Calibri" w:hAnsi="Calibri"/>
                <w:b/>
                <w:color w:val="30A46C"/>
                <w:sz w:val="22"/>
              </w:rPr>
              <w:t>+7 bps</w:t>
            </w:r>
          </w:p>
        </w:tc>
        <w:tc>
          <w:tcPr>
            <w:tcW w:type="dxa" w:w="1080"/>
          </w:tcPr>
          <w:p>
            <w:r>
              <w:rPr>
                <w:rFonts w:ascii="Calibri" w:hAnsi="Calibri"/>
                <w:sz w:val="22"/>
              </w:rPr>
              <w:t>3.0%–5.0%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+119 bps above FY midpoint</w:t>
            </w:r>
          </w:p>
        </w:tc>
      </w:tr>
      <w:tr>
        <w:tc>
          <w:tcPr>
            <w:tcW w:type="dxa" w:w="1080"/>
          </w:tcPr>
          <w:p>
            <w:r>
              <w:rPr>
                <w:rFonts w:ascii="Calibri" w:hAnsi="Calibri"/>
                <w:sz w:val="22"/>
              </w:rPr>
              <w:t>Comp Store Sales % (FY26)</w:t>
            </w:r>
          </w:p>
        </w:tc>
        <w:tc>
          <w:tcPr>
            <w:tcW w:type="dxa" w:w="1080"/>
          </w:tcPr>
          <w:p>
            <w:r>
              <w:rPr>
                <w:rFonts w:ascii="Calibri" w:hAnsi="Calibri"/>
                <w:sz w:val="22"/>
              </w:rPr>
              <w:t>4.97%</w:t>
            </w:r>
          </w:p>
        </w:tc>
        <w:tc>
          <w:tcPr>
            <w:tcW w:type="dxa" w:w="1080"/>
          </w:tcPr>
          <w:p>
            <w:r>
              <w:rPr>
                <w:rFonts w:ascii="Calibri" w:hAnsi="Calibri"/>
                <w:sz w:val="22"/>
              </w:rPr>
              <w:t>5.05%</w:t>
            </w:r>
          </w:p>
        </w:tc>
        <w:tc>
          <w:tcPr>
            <w:tcW w:type="dxa" w:w="1080"/>
          </w:tcPr>
          <w:p>
            <w:r>
              <w:rPr>
                <w:rFonts w:ascii="Calibri" w:hAnsi="Calibri"/>
                <w:b/>
                <w:color w:val="30A46C"/>
                <w:sz w:val="22"/>
              </w:rPr>
              <w:t>+8 bps</w:t>
            </w:r>
          </w:p>
        </w:tc>
        <w:tc>
          <w:tcPr>
            <w:tcW w:type="dxa" w:w="1080"/>
          </w:tcPr>
          <w:p>
            <w:r>
              <w:rPr>
                <w:rFonts w:ascii="Calibri" w:hAnsi="Calibri"/>
                <w:sz w:val="22"/>
              </w:rPr>
              <w:t>3.0%–5.0% (mid: 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+105 bps above midpoint</w:t>
            </w:r>
          </w:p>
        </w:tc>
      </w:tr>
      <w:tr>
        <w:tc>
          <w:tcPr>
            <w:tcW w:type="dxa" w:w="1080"/>
          </w:tcPr>
          <w:p>
            <w:r>
              <w:rPr>
                <w:rFonts w:ascii="Calibri" w:hAnsi="Calibri"/>
                <w:sz w:val="22"/>
              </w:rPr>
              <w:t>EPS — Diluted Operating (2Q26)</w:t>
            </w:r>
          </w:p>
        </w:tc>
        <w:tc>
          <w:tcPr>
            <w:tcW w:type="dxa" w:w="1080"/>
          </w:tcPr>
          <w:p>
            <w:r>
              <w:rPr>
                <w:rFonts w:ascii="Calibri" w:hAnsi="Calibri"/>
                <w:sz w:val="22"/>
              </w:rPr>
              <w:t>$0.863</w:t>
            </w:r>
          </w:p>
        </w:tc>
        <w:tc>
          <w:tcPr>
            <w:tcW w:type="dxa" w:w="1080"/>
          </w:tcPr>
          <w:p>
            <w:r>
              <w:rPr>
                <w:rFonts w:ascii="Calibri" w:hAnsi="Calibri"/>
                <w:sz w:val="22"/>
              </w:rPr>
              <w:t>$0.865</w:t>
            </w:r>
          </w:p>
        </w:tc>
        <w:tc>
          <w:tcPr>
            <w:tcW w:type="dxa" w:w="1080"/>
          </w:tcPr>
          <w:p>
            <w:r>
              <w:rPr>
                <w:rFonts w:ascii="Calibri" w:hAnsi="Calibri"/>
                <w:b/>
                <w:color w:val="30A46C"/>
                <w:sz w:val="22"/>
              </w:rPr>
              <w:t>+0.3%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(FY26)</w:t>
            </w:r>
          </w:p>
        </w:tc>
        <w:tc>
          <w:tcPr>
            <w:tcW w:type="dxa" w:w="1080"/>
          </w:tcPr>
          <w:p>
            <w:r>
              <w:rPr>
                <w:rFonts w:ascii="Calibri" w:hAnsi="Calibri"/>
                <w:sz w:val="22"/>
              </w:rPr>
              <w:t>$3.263</w:t>
            </w:r>
          </w:p>
        </w:tc>
        <w:tc>
          <w:tcPr>
            <w:tcW w:type="dxa" w:w="1080"/>
          </w:tcPr>
          <w:p>
            <w:r>
              <w:rPr>
                <w:rFonts w:ascii="Calibri" w:hAnsi="Calibri"/>
                <w:sz w:val="22"/>
              </w:rPr>
              <w:t>$3.272</w:t>
            </w:r>
          </w:p>
        </w:tc>
        <w:tc>
          <w:tcPr>
            <w:tcW w:type="dxa" w:w="1080"/>
          </w:tcPr>
          <w:p>
            <w:r>
              <w:rPr>
                <w:rFonts w:ascii="Calibri" w:hAnsi="Calibri"/>
                <w:b/>
                <w:color w:val="30A46C"/>
                <w:sz w:val="22"/>
              </w:rPr>
              <w:t>+0.3%</w:t>
            </w:r>
          </w:p>
        </w:tc>
        <w:tc>
          <w:tcPr>
            <w:tcW w:type="dxa" w:w="1080"/>
          </w:tcPr>
          <w:p>
            <w:r>
              <w:rPr>
                <w:rFonts w:ascii="Calibri" w:hAnsi="Calibri"/>
                <w:sz w:val="22"/>
              </w:rPr>
              <w:t>$3.15–$3.25 (mid: $3.20)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 above midpoint</w:t>
            </w:r>
          </w:p>
        </w:tc>
      </w:tr>
      <w:tr>
        <w:tc>
          <w:tcPr>
            <w:tcW w:type="dxa" w:w="1080"/>
          </w:tcPr>
          <w:p>
            <w:r>
              <w:rPr>
                <w:rFonts w:ascii="Calibri" w:hAnsi="Calibri"/>
                <w:sz w:val="22"/>
              </w:rPr>
              <w:t>Revenue / Sales (2Q26)</w:t>
            </w:r>
          </w:p>
        </w:tc>
        <w:tc>
          <w:tcPr>
            <w:tcW w:type="dxa" w:w="1080"/>
          </w:tcPr>
          <w:p>
            <w:r>
              <w:rPr>
                <w:rFonts w:ascii="Calibri" w:hAnsi="Calibri"/>
                <w:sz w:val="22"/>
              </w:rPr>
              <w:t>$4.858B</w:t>
            </w:r>
          </w:p>
        </w:tc>
        <w:tc>
          <w:tcPr>
            <w:tcW w:type="dxa" w:w="1080"/>
          </w:tcPr>
          <w:p>
            <w:r>
              <w:rPr>
                <w:rFonts w:ascii="Calibri" w:hAnsi="Calibri"/>
                <w:sz w:val="22"/>
              </w:rPr>
              <w:t>$4.860B</w:t>
            </w:r>
          </w:p>
        </w:tc>
        <w:tc>
          <w:tcPr>
            <w:tcW w:type="dxa" w:w="1080"/>
          </w:tcPr>
          <w:p>
            <w:r>
              <w:rPr>
                <w:rFonts w:ascii="Calibri" w:hAnsi="Calibri"/>
                <w:sz w:val="22"/>
              </w:rPr>
              <w:t>+0.04%</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Sales (FY26)</w:t>
            </w:r>
          </w:p>
        </w:tc>
        <w:tc>
          <w:tcPr>
            <w:tcW w:type="dxa" w:w="1080"/>
          </w:tcPr>
          <w:p>
            <w:r>
              <w:rPr>
                <w:rFonts w:ascii="Calibri" w:hAnsi="Calibri"/>
                <w:sz w:val="22"/>
              </w:rPr>
              <w:t>$19.048B</w:t>
            </w:r>
          </w:p>
        </w:tc>
        <w:tc>
          <w:tcPr>
            <w:tcW w:type="dxa" w:w="1080"/>
          </w:tcPr>
          <w:p>
            <w:r>
              <w:rPr>
                <w:rFonts w:ascii="Calibri" w:hAnsi="Calibri"/>
                <w:sz w:val="22"/>
              </w:rPr>
              <w:t>$19.054B</w:t>
            </w:r>
          </w:p>
        </w:tc>
        <w:tc>
          <w:tcPr>
            <w:tcW w:type="dxa" w:w="1080"/>
          </w:tcPr>
          <w:p>
            <w:r>
              <w:rPr>
                <w:rFonts w:ascii="Calibri" w:hAnsi="Calibri"/>
                <w:sz w:val="22"/>
              </w:rPr>
              <w:t>+0.03%</w:t>
            </w:r>
          </w:p>
        </w:tc>
        <w:tc>
          <w:tcPr>
            <w:tcW w:type="dxa" w:w="1080"/>
          </w:tcPr>
          <w:p>
            <w:r>
              <w:rPr>
                <w:rFonts w:ascii="Calibri" w:hAnsi="Calibri"/>
                <w:sz w:val="22"/>
              </w:rPr>
              <w:t>$18.7B–$19.0B (mid: $18.85B)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midpoint</w:t>
            </w:r>
          </w:p>
        </w:tc>
      </w:tr>
    </w:tbl>
    <w:p>
      <w:r>
        <w:rPr>
          <w:rFonts w:ascii="Calibri" w:hAnsi="Calibri"/>
          <w:color w:val="525866"/>
          <w:sz w:val="22"/>
        </w:rPr>
        <w:t>Estimates have been remarkably stable since the Q1 print, with only marginal upward drift across all key metrics. The Street is not aggressively pricing in a repeat of Q1's blowout, which is a constructive setup — the bar is achievable, and any upside to the comp or margin could drive meaningful positive revisions. The gap between consensus and guidance midpoints (particularly on comp and EPS) reflects the Street's expectation that ORLY will, as it typically does, outperform its own conservative guidance framework.</w:t>
      </w:r>
    </w:p>
    <w:p>
      <w:r>
        <w:rPr>
          <w:rFonts w:ascii="Calibri" w:hAnsi="Calibri"/>
          <w:i/>
          <w:color w:val="525866"/>
          <w:sz w:val="22"/>
        </w:rPr>
        <w:t>Source: Visible Alpha Consensus and Actuals Data; revision history from May 8, 2026 through July 29,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ORLY's underperformance over the past 12 months has been driven almost entirely by multiple compression (−16% on NTM P/E), not estimate cuts. The stock is down ~7% over 12 months and ~9% over 6 months, while EPS estimates have been broadly stable. At 26x NTM P/E vs. a 10-year average closer to 22–24x, the stock is no longer egregiously expensive, but re-rating requires a sustained comp acceleration.</w:t>
      </w:r>
    </w:p>
    <w:p>
      <w:r>
        <w:rPr>
          <w:rFonts w:ascii="Calibri" w:hAnsi="Calibri"/>
          <w:b/>
          <w:color w:val="525866"/>
          <w:sz w:val="22"/>
          <w:u w:val="single"/>
        </w:rPr>
        <w:t>Stock Performance vs. Peers &amp; Market — Chart Note:</w:t>
      </w:r>
    </w:p>
    <w:p>
      <w:r>
        <w:rPr>
          <w:rFonts w:ascii="Calibri" w:hAnsi="Calibri"/>
          <w:i/>
          <w:color w:val="525866"/>
          <w:sz w:val="22"/>
        </w:rPr>
        <w:t xml:space="preserve">A price-series chart (ORLY vs. XLY vs. SPY, indexed to 100 at the April 29, 2026 last earnings date) was requested. </w:t>
      </w:r>
      <w:r>
        <w:rPr>
          <w:rFonts w:ascii="Calibri" w:hAnsi="Calibri"/>
          <w:b/>
          <w:i/>
          <w:color w:val="525866"/>
          <w:sz w:val="22"/>
        </w:rPr>
        <w:t>Price series data for ORLY, XLY, and SPY since April 29, 2026 was not available in the research context provided to this document builder.</w:t>
      </w:r>
      <w:r>
        <w:rPr>
          <w:rFonts w:ascii="Calibri" w:hAnsi="Calibri"/>
          <w:i/>
          <w:color w:val="525866"/>
          <w:sz w:val="22"/>
        </w:rPr>
        <w:t xml:space="preserve"> The chart has been omitted rather than fabricated. The quantitative performance data below is sourced from the stock performance decomposition analysis.</w:t>
      </w:r>
    </w:p>
    <w:p>
      <w:pPr>
        <w:pStyle w:val="Heading2"/>
      </w:pPr>
      <w:r>
        <w:rPr>
          <w:rFonts w:ascii="Calibri" w:hAnsi="Calibri"/>
          <w:b/>
          <w:color w:val="3B4259"/>
          <w:sz w:val="28"/>
        </w:rPr>
        <w:t>Performance Decomposition Summary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Horizon</w:t>
            </w:r>
          </w:p>
        </w:tc>
        <w:tc>
          <w:tcPr>
            <w:tcW w:type="dxa" w:w="1080"/>
            <w:shd w:val="clear" w:color="auto" w:fill="3B4259"/>
          </w:tcPr>
          <w:p>
            <w:r>
              <w:rPr>
                <w:rFonts w:ascii="Calibri" w:hAnsi="Calibri"/>
                <w:b/>
                <w:color w:val="FFFFFF"/>
                <w:sz w:val="22"/>
              </w:rPr>
              <w:t>ORLY Price Return</w:t>
            </w:r>
          </w:p>
        </w:tc>
        <w:tc>
          <w:tcPr>
            <w:tcW w:type="dxa" w:w="1080"/>
            <w:shd w:val="clear" w:color="auto" w:fill="3B4259"/>
          </w:tcPr>
          <w:p>
            <w:r>
              <w:rPr>
                <w:rFonts w:ascii="Calibri" w:hAnsi="Calibri"/>
                <w:b/>
                <w:color w:val="FFFFFF"/>
                <w:sz w:val="22"/>
              </w:rPr>
              <w:t>NTM EV/EBITDA (Start)</w:t>
            </w:r>
          </w:p>
        </w:tc>
        <w:tc>
          <w:tcPr>
            <w:tcW w:type="dxa" w:w="1080"/>
            <w:shd w:val="clear" w:color="auto" w:fill="3B4259"/>
          </w:tcPr>
          <w:p>
            <w:r>
              <w:rPr>
                <w:rFonts w:ascii="Calibri" w:hAnsi="Calibri"/>
                <w:b/>
                <w:color w:val="FFFFFF"/>
                <w:sz w:val="22"/>
              </w:rPr>
              <w:t>NTM EV/EBITDA (Current)</w:t>
            </w:r>
          </w:p>
        </w:tc>
        <w:tc>
          <w:tcPr>
            <w:tcW w:type="dxa" w:w="1080"/>
            <w:shd w:val="clear" w:color="auto" w:fill="3B4259"/>
          </w:tcPr>
          <w:p>
            <w:r>
              <w:rPr>
                <w:rFonts w:ascii="Calibri" w:hAnsi="Calibri"/>
                <w:b/>
                <w:color w:val="FFFFFF"/>
                <w:sz w:val="22"/>
              </w:rPr>
              <w:t>Multiple Δ</w:t>
            </w:r>
          </w:p>
        </w:tc>
        <w:tc>
          <w:tcPr>
            <w:tcW w:type="dxa" w:w="1080"/>
            <w:shd w:val="clear" w:color="auto" w:fill="3B4259"/>
          </w:tcPr>
          <w:p>
            <w:r>
              <w:rPr>
                <w:rFonts w:ascii="Calibri" w:hAnsi="Calibri"/>
                <w:b/>
                <w:color w:val="FFFFFF"/>
                <w:sz w:val="22"/>
              </w:rPr>
              <w:t>NTM P/E (Start)</w:t>
            </w:r>
          </w:p>
        </w:tc>
        <w:tc>
          <w:tcPr>
            <w:tcW w:type="dxa" w:w="1080"/>
            <w:shd w:val="clear" w:color="auto" w:fill="3B4259"/>
          </w:tcPr>
          <w:p>
            <w:r>
              <w:rPr>
                <w:rFonts w:ascii="Calibri" w:hAnsi="Calibri"/>
                <w:b/>
                <w:color w:val="FFFFFF"/>
                <w:sz w:val="22"/>
              </w:rPr>
              <w:t>NTM P/E (Current)</w:t>
            </w:r>
          </w:p>
        </w:tc>
        <w:tc>
          <w:tcPr>
            <w:tcW w:type="dxa" w:w="1080"/>
            <w:shd w:val="clear" w:color="auto" w:fill="3B4259"/>
          </w:tcPr>
          <w:p>
            <w:r>
              <w:rPr>
                <w:rFonts w:ascii="Calibri" w:hAnsi="Calibri"/>
                <w:b/>
                <w:color w:val="FFFFFF"/>
                <w:sz w:val="22"/>
              </w:rPr>
              <w:t>P/E Δ</w:t>
            </w:r>
          </w:p>
        </w:tc>
      </w:tr>
      <w:tr>
        <w:tc>
          <w:tcPr>
            <w:tcW w:type="dxa" w:w="1080"/>
          </w:tcPr>
          <w:p>
            <w:r>
              <w:rPr>
                <w:rFonts w:ascii="Calibri" w:hAnsi="Calibri"/>
                <w:sz w:val="22"/>
              </w:rPr>
              <w:t>1 Month</w:t>
            </w:r>
          </w:p>
        </w:tc>
        <w:tc>
          <w:tcPr>
            <w:tcW w:type="dxa" w:w="1080"/>
          </w:tcPr>
          <w:p>
            <w:r>
              <w:rPr>
                <w:rFonts w:ascii="Calibri" w:hAnsi="Calibri"/>
                <w:sz w:val="22"/>
              </w:rPr>
              <w:t>+1.83%</w:t>
            </w:r>
          </w:p>
        </w:tc>
        <w:tc>
          <w:tcPr>
            <w:tcW w:type="dxa" w:w="1080"/>
          </w:tcPr>
          <w:p>
            <w:r>
              <w:rPr>
                <w:rFonts w:ascii="Calibri" w:hAnsi="Calibri"/>
                <w:sz w:val="22"/>
              </w:rPr>
              <w:t>18.23x</w:t>
            </w:r>
          </w:p>
        </w:tc>
        <w:tc>
          <w:tcPr>
            <w:tcW w:type="dxa" w:w="1080"/>
          </w:tcPr>
          <w:p>
            <w:r>
              <w:rPr>
                <w:rFonts w:ascii="Calibri" w:hAnsi="Calibri"/>
                <w:sz w:val="22"/>
              </w:rPr>
              <w:t>18.81x</w:t>
            </w:r>
          </w:p>
        </w:tc>
        <w:tc>
          <w:tcPr>
            <w:tcW w:type="dxa" w:w="1080"/>
          </w:tcPr>
          <w:p>
            <w:r>
              <w:rPr>
                <w:rFonts w:ascii="Calibri" w:hAnsi="Calibri"/>
                <w:b/>
                <w:color w:val="30A46C"/>
                <w:sz w:val="22"/>
              </w:rPr>
              <w:t>+3.22%</w:t>
            </w:r>
          </w:p>
        </w:tc>
        <w:tc>
          <w:tcPr>
            <w:tcW w:type="dxa" w:w="1080"/>
          </w:tcPr>
          <w:p>
            <w:r>
              <w:rPr>
                <w:rFonts w:ascii="Calibri" w:hAnsi="Calibri"/>
                <w:sz w:val="22"/>
              </w:rPr>
              <w:t>25.31x</w:t>
            </w:r>
          </w:p>
        </w:tc>
        <w:tc>
          <w:tcPr>
            <w:tcW w:type="dxa" w:w="1080"/>
          </w:tcPr>
          <w:p>
            <w:r>
              <w:rPr>
                <w:rFonts w:ascii="Calibri" w:hAnsi="Calibri"/>
                <w:sz w:val="22"/>
              </w:rPr>
              <w:t>26.13x</w:t>
            </w:r>
          </w:p>
        </w:tc>
        <w:tc>
          <w:tcPr>
            <w:tcW w:type="dxa" w:w="1080"/>
          </w:tcPr>
          <w:p>
            <w:r>
              <w:rPr>
                <w:rFonts w:ascii="Calibri" w:hAnsi="Calibri"/>
                <w:sz w:val="22"/>
              </w:rPr>
              <w:t>+3.23%</w:t>
            </w:r>
          </w:p>
        </w:tc>
      </w:tr>
      <w:tr>
        <w:tc>
          <w:tcPr>
            <w:tcW w:type="dxa" w:w="1080"/>
          </w:tcPr>
          <w:p>
            <w:r>
              <w:rPr>
                <w:rFonts w:ascii="Calibri" w:hAnsi="Calibri"/>
                <w:sz w:val="22"/>
              </w:rPr>
              <w:t>3 Months</w:t>
            </w:r>
          </w:p>
        </w:tc>
        <w:tc>
          <w:tcPr>
            <w:tcW w:type="dxa" w:w="1080"/>
          </w:tcPr>
          <w:p>
            <w:r>
              <w:rPr>
                <w:rFonts w:ascii="Calibri" w:hAnsi="Calibri"/>
                <w:sz w:val="22"/>
              </w:rPr>
              <w:t>−0.85%</w:t>
            </w:r>
          </w:p>
        </w:tc>
        <w:tc>
          <w:tcPr>
            <w:tcW w:type="dxa" w:w="1080"/>
          </w:tcPr>
          <w:p>
            <w:r>
              <w:rPr>
                <w:rFonts w:ascii="Calibri" w:hAnsi="Calibri"/>
                <w:sz w:val="22"/>
              </w:rPr>
              <w:t>19.87x</w:t>
            </w:r>
          </w:p>
        </w:tc>
        <w:tc>
          <w:tcPr>
            <w:tcW w:type="dxa" w:w="1080"/>
          </w:tcPr>
          <w:p>
            <w:r>
              <w:rPr>
                <w:rFonts w:ascii="Calibri" w:hAnsi="Calibri"/>
                <w:sz w:val="22"/>
              </w:rPr>
              <w:t>18.81x</w:t>
            </w:r>
          </w:p>
        </w:tc>
        <w:tc>
          <w:tcPr>
            <w:tcW w:type="dxa" w:w="1080"/>
          </w:tcPr>
          <w:p>
            <w:r>
              <w:rPr>
                <w:rFonts w:ascii="Calibri" w:hAnsi="Calibri"/>
                <w:b/>
                <w:color w:val="E5484D"/>
                <w:sz w:val="22"/>
              </w:rPr>
              <w:t>−5.34%</w:t>
            </w:r>
          </w:p>
        </w:tc>
        <w:tc>
          <w:tcPr>
            <w:tcW w:type="dxa" w:w="1080"/>
          </w:tcPr>
          <w:p>
            <w:r>
              <w:rPr>
                <w:rFonts w:ascii="Calibri" w:hAnsi="Calibri"/>
                <w:sz w:val="22"/>
              </w:rPr>
              <w:t>28.00x</w:t>
            </w:r>
          </w:p>
        </w:tc>
        <w:tc>
          <w:tcPr>
            <w:tcW w:type="dxa" w:w="1080"/>
          </w:tcPr>
          <w:p>
            <w:r>
              <w:rPr>
                <w:rFonts w:ascii="Calibri" w:hAnsi="Calibri"/>
                <w:sz w:val="22"/>
              </w:rPr>
              <w:t>26.13x</w:t>
            </w:r>
          </w:p>
        </w:tc>
        <w:tc>
          <w:tcPr>
            <w:tcW w:type="dxa" w:w="1080"/>
          </w:tcPr>
          <w:p>
            <w:r>
              <w:rPr>
                <w:rFonts w:ascii="Calibri" w:hAnsi="Calibri"/>
                <w:sz w:val="22"/>
              </w:rPr>
              <w:t>−6.65%</w:t>
            </w:r>
          </w:p>
        </w:tc>
      </w:tr>
      <w:tr>
        <w:tc>
          <w:tcPr>
            <w:tcW w:type="dxa" w:w="1080"/>
          </w:tcPr>
          <w:p>
            <w:r>
              <w:rPr>
                <w:rFonts w:ascii="Calibri" w:hAnsi="Calibri"/>
                <w:sz w:val="22"/>
              </w:rPr>
              <w:t>6 Months</w:t>
            </w:r>
          </w:p>
        </w:tc>
        <w:tc>
          <w:tcPr>
            <w:tcW w:type="dxa" w:w="1080"/>
          </w:tcPr>
          <w:p>
            <w:r>
              <w:rPr>
                <w:rFonts w:ascii="Calibri" w:hAnsi="Calibri"/>
                <w:sz w:val="22"/>
              </w:rPr>
              <w:t>−9.03%</w:t>
            </w:r>
          </w:p>
        </w:tc>
        <w:tc>
          <w:tcPr>
            <w:tcW w:type="dxa" w:w="1080"/>
          </w:tcPr>
          <w:p>
            <w:r>
              <w:rPr>
                <w:rFonts w:ascii="Calibri" w:hAnsi="Calibri"/>
                <w:sz w:val="22"/>
              </w:rPr>
              <w:t>21.34x</w:t>
            </w:r>
          </w:p>
        </w:tc>
        <w:tc>
          <w:tcPr>
            <w:tcW w:type="dxa" w:w="1080"/>
          </w:tcPr>
          <w:p>
            <w:r>
              <w:rPr>
                <w:rFonts w:ascii="Calibri" w:hAnsi="Calibri"/>
                <w:sz w:val="22"/>
              </w:rPr>
              <w:t>18.81x</w:t>
            </w:r>
          </w:p>
        </w:tc>
        <w:tc>
          <w:tcPr>
            <w:tcW w:type="dxa" w:w="1080"/>
          </w:tcPr>
          <w:p>
            <w:r>
              <w:rPr>
                <w:rFonts w:ascii="Calibri" w:hAnsi="Calibri"/>
                <w:b/>
                <w:color w:val="E5484D"/>
                <w:sz w:val="22"/>
              </w:rPr>
              <w:t>−11.85%</w:t>
            </w:r>
          </w:p>
        </w:tc>
        <w:tc>
          <w:tcPr>
            <w:tcW w:type="dxa" w:w="1080"/>
          </w:tcPr>
          <w:p>
            <w:r>
              <w:rPr>
                <w:rFonts w:ascii="Calibri" w:hAnsi="Calibri"/>
                <w:sz w:val="22"/>
              </w:rPr>
              <w:t>29.80x</w:t>
            </w:r>
          </w:p>
        </w:tc>
        <w:tc>
          <w:tcPr>
            <w:tcW w:type="dxa" w:w="1080"/>
          </w:tcPr>
          <w:p>
            <w:r>
              <w:rPr>
                <w:rFonts w:ascii="Calibri" w:hAnsi="Calibri"/>
                <w:sz w:val="22"/>
              </w:rPr>
              <w:t>26.13x</w:t>
            </w:r>
          </w:p>
        </w:tc>
        <w:tc>
          <w:tcPr>
            <w:tcW w:type="dxa" w:w="1080"/>
          </w:tcPr>
          <w:p>
            <w:r>
              <w:rPr>
                <w:rFonts w:ascii="Calibri" w:hAnsi="Calibri"/>
                <w:sz w:val="22"/>
              </w:rPr>
              <w:t>−12.30%</w:t>
            </w:r>
          </w:p>
        </w:tc>
      </w:tr>
      <w:tr>
        <w:tc>
          <w:tcPr>
            <w:tcW w:type="dxa" w:w="1080"/>
          </w:tcPr>
          <w:p>
            <w:r>
              <w:rPr>
                <w:rFonts w:ascii="Calibri" w:hAnsi="Calibri"/>
                <w:sz w:val="22"/>
              </w:rPr>
              <w:t>12 Months</w:t>
            </w:r>
          </w:p>
        </w:tc>
        <w:tc>
          <w:tcPr>
            <w:tcW w:type="dxa" w:w="1080"/>
          </w:tcPr>
          <w:p>
            <w:r>
              <w:rPr>
                <w:rFonts w:ascii="Calibri" w:hAnsi="Calibri"/>
                <w:sz w:val="22"/>
              </w:rPr>
              <w:t>−6.63%</w:t>
            </w:r>
          </w:p>
        </w:tc>
        <w:tc>
          <w:tcPr>
            <w:tcW w:type="dxa" w:w="1080"/>
          </w:tcPr>
          <w:p>
            <w:r>
              <w:rPr>
                <w:rFonts w:ascii="Calibri" w:hAnsi="Calibri"/>
                <w:sz w:val="22"/>
              </w:rPr>
              <w:t>22.15x</w:t>
            </w:r>
          </w:p>
        </w:tc>
        <w:tc>
          <w:tcPr>
            <w:tcW w:type="dxa" w:w="1080"/>
          </w:tcPr>
          <w:p>
            <w:r>
              <w:rPr>
                <w:rFonts w:ascii="Calibri" w:hAnsi="Calibri"/>
                <w:sz w:val="22"/>
              </w:rPr>
              <w:t>18.81x</w:t>
            </w:r>
          </w:p>
        </w:tc>
        <w:tc>
          <w:tcPr>
            <w:tcW w:type="dxa" w:w="1080"/>
          </w:tcPr>
          <w:p>
            <w:r>
              <w:rPr>
                <w:rFonts w:ascii="Calibri" w:hAnsi="Calibri"/>
                <w:b/>
                <w:color w:val="E5484D"/>
                <w:sz w:val="22"/>
              </w:rPr>
              <w:t>−15.05%</w:t>
            </w:r>
          </w:p>
        </w:tc>
        <w:tc>
          <w:tcPr>
            <w:tcW w:type="dxa" w:w="1080"/>
          </w:tcPr>
          <w:p>
            <w:r>
              <w:rPr>
                <w:rFonts w:ascii="Calibri" w:hAnsi="Calibri"/>
                <w:sz w:val="22"/>
              </w:rPr>
              <w:t>31.20x</w:t>
            </w:r>
          </w:p>
        </w:tc>
        <w:tc>
          <w:tcPr>
            <w:tcW w:type="dxa" w:w="1080"/>
          </w:tcPr>
          <w:p>
            <w:r>
              <w:rPr>
                <w:rFonts w:ascii="Calibri" w:hAnsi="Calibri"/>
                <w:sz w:val="22"/>
              </w:rPr>
              <w:t>26.13x</w:t>
            </w:r>
          </w:p>
        </w:tc>
        <w:tc>
          <w:tcPr>
            <w:tcW w:type="dxa" w:w="1080"/>
          </w:tcPr>
          <w:p>
            <w:r>
              <w:rPr>
                <w:rFonts w:ascii="Calibri" w:hAnsi="Calibri"/>
                <w:sz w:val="22"/>
              </w:rPr>
              <w:t>−16.24%</w:t>
            </w:r>
          </w:p>
        </w:tc>
      </w:tr>
    </w:tbl>
    <w:p>
      <w:r>
        <w:rPr>
          <w:rFonts w:ascii="Calibri" w:hAnsi="Calibri"/>
          <w:b/>
          <w:color w:val="525866"/>
          <w:sz w:val="22"/>
        </w:rPr>
        <w:t xml:space="preserve">Interpretation: </w:t>
      </w:r>
      <w:r>
        <w:rPr>
          <w:rFonts w:ascii="Calibri" w:hAnsi="Calibri"/>
          <w:color w:val="525866"/>
          <w:sz w:val="22"/>
        </w:rPr>
        <w:t>Across every horizon from 3 months to 12 months, ORLY's stock decline has been driven by multiple compression, not earnings deterioration. EPS estimates have been broadly stable-to-rising over the same period. The 1-month recovery (+1.83%) reflects a modest re-rating following the Q1 beat. The key question for 2Q26 is whether a clean print can sustain or extend this re-rating, or whether the market continues to de-rate the stock toward historical average multiples (~22–24x NTM P/E).</w:t>
      </w:r>
    </w:p>
    <w:p>
      <w:r>
        <w:rPr>
          <w:rFonts w:ascii="Calibri" w:hAnsi="Calibri"/>
          <w:i/>
          <w:color w:val="525866"/>
          <w:sz w:val="22"/>
        </w:rPr>
        <w:t>Source: Implied stock performance decomposition analysis as of July 28, 2026. NTM multiples based on Visible Alpha consensus.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appointment of a new supply chain executive from Tractor Supply, signaling continued investment in distribution infrastructure. No guidance revisions, M&amp;A, or adverse regulatory events have occurred since the Q1 print. The macro backdrop — elevated fuel prices and Iran conflict oil supply risk — remains the primary external variable heading into the print.</w:t>
      </w:r>
    </w:p>
    <w:p>
      <w:pPr>
        <w:pStyle w:val="ListBullet"/>
        <w:ind w:left="360" w:hanging="360"/>
      </w:pPr>
      <w:r>
        <w:rPr>
          <w:rFonts w:ascii="Calibri" w:hAnsi="Calibri"/>
          <w:b/>
          <w:color w:val="525866"/>
          <w:sz w:val="22"/>
        </w:rPr>
        <w:t>July 10, 2026 — New Supply Chain Executive Appointed (8-K):</w:t>
      </w:r>
      <w:r>
        <w:rPr>
          <w:rFonts w:ascii="Calibri" w:hAnsi="Calibri"/>
          <w:color w:val="525866"/>
          <w:sz w:val="22"/>
        </w:rPr>
        <w:t xml:space="preserve"> O'Reilly appointed Colin Yankee, a Tractor Supply veteran, as its top supply chain executive, effective 2026. </w:t>
      </w:r>
      <w:r>
        <w:rPr>
          <w:rFonts w:ascii="Calibri" w:hAnsi="Calibri"/>
          <w:b/>
          <w:i/>
          <w:color w:val="525866"/>
          <w:sz w:val="22"/>
        </w:rPr>
        <w:t>Implication:</w:t>
      </w:r>
      <w:r>
        <w:rPr>
          <w:rFonts w:ascii="Calibri" w:hAnsi="Calibri"/>
          <w:color w:val="525866"/>
          <w:sz w:val="22"/>
        </w:rPr>
        <w:t xml:space="preserve"> Signals continued investment in distribution capabilities as ORLY accelerates store expansion (225–235 net new stores in FY26) and opens the Virginia DC to unlock Northeast corridor growth. A supply chain leadership upgrade at this stage of expansion is a positive structural signal.</w:t>
      </w:r>
    </w:p>
    <w:p>
      <w:pPr>
        <w:pStyle w:val="ListBullet"/>
        <w:ind w:left="360" w:hanging="360"/>
      </w:pPr>
      <w:r>
        <w:rPr>
          <w:rFonts w:ascii="Calibri" w:hAnsi="Calibri"/>
          <w:b/>
          <w:color w:val="525866"/>
          <w:sz w:val="22"/>
        </w:rPr>
        <w:t>July 1, 2026 — 2Q26 Earnings Date Confirmed (8-K / Press Release):</w:t>
      </w:r>
      <w:r>
        <w:rPr>
          <w:rFonts w:ascii="Calibri" w:hAnsi="Calibri"/>
          <w:color w:val="525866"/>
          <w:sz w:val="22"/>
        </w:rPr>
        <w:t xml:space="preserve"> ORLY confirmed July 30, 2026 as the 2Q26 earnings release date with a conference call at 11:00 AM ET. No pre-announcement or guidance update was included. </w:t>
      </w:r>
      <w:r>
        <w:rPr>
          <w:rFonts w:ascii="Calibri" w:hAnsi="Calibri"/>
          <w:b/>
          <w:i/>
          <w:color w:val="525866"/>
          <w:sz w:val="22"/>
        </w:rPr>
        <w:t>Implication:</w:t>
      </w:r>
      <w:r>
        <w:rPr>
          <w:rFonts w:ascii="Calibri" w:hAnsi="Calibri"/>
          <w:color w:val="525866"/>
          <w:sz w:val="22"/>
        </w:rPr>
        <w:t xml:space="preserve"> Absence of a pre-announcement is a mild positive — companies typically pre-announce when results are materially outside guidance.</w:t>
      </w:r>
    </w:p>
    <w:p>
      <w:pPr>
        <w:pStyle w:val="ListBullet"/>
        <w:ind w:left="360" w:hanging="360"/>
      </w:pPr>
      <w:r>
        <w:rPr>
          <w:rFonts w:ascii="Calibri" w:hAnsi="Calibri"/>
          <w:b/>
          <w:color w:val="525866"/>
          <w:sz w:val="22"/>
        </w:rPr>
        <w:t>May 18, 2026 — Executive Chairman Stock Option Grant (8-K):</w:t>
      </w:r>
      <w:r>
        <w:rPr>
          <w:rFonts w:ascii="Calibri" w:hAnsi="Calibri"/>
          <w:color w:val="525866"/>
          <w:sz w:val="22"/>
        </w:rPr>
        <w:t xml:space="preserve"> O'Reilly granted a $2 million stock option to Executive Chairman Greg Henslee. </w:t>
      </w:r>
      <w:r>
        <w:rPr>
          <w:rFonts w:ascii="Calibri" w:hAnsi="Calibri"/>
          <w:b/>
          <w:i/>
          <w:color w:val="525866"/>
          <w:sz w:val="22"/>
        </w:rPr>
        <w:t>Implication:</w:t>
      </w:r>
      <w:r>
        <w:rPr>
          <w:rFonts w:ascii="Calibri" w:hAnsi="Calibri"/>
          <w:color w:val="525866"/>
          <w:sz w:val="22"/>
        </w:rPr>
        <w:t xml:space="preserve"> Routine compensation action; no strategic signal. Henslee's continued engagement at the executive chairman level is consistent with prior quarters.</w:t>
      </w:r>
    </w:p>
    <w:p>
      <w:pPr>
        <w:pStyle w:val="ListBullet"/>
        <w:ind w:left="360" w:hanging="360"/>
      </w:pPr>
      <w:r>
        <w:rPr>
          <w:rFonts w:ascii="Calibri" w:hAnsi="Calibri"/>
          <w:b/>
          <w:color w:val="525866"/>
          <w:sz w:val="22"/>
        </w:rPr>
        <w:t>Ongoing — Iran Conflict / Oil Supply Risk:</w:t>
      </w:r>
      <w:r>
        <w:rPr>
          <w:rFonts w:ascii="Calibri" w:hAnsi="Calibri"/>
          <w:color w:val="525866"/>
          <w:sz w:val="22"/>
        </w:rPr>
        <w:t xml:space="preserve"> Management flagged on the Q1 call that the Iran conflict and resulting constraints on global oil supply have the potential to disrupt the motor oil category and impact freight costs. Peer GPC (Q2 2026 earnings, July 21) confirmed a $16 million EBITDA headwind from the Iran conflict in Q2, primarily from higher freight and fuel costs, and guided for $20–30 million of incremental operating costs in the back half. </w:t>
      </w:r>
      <w:r>
        <w:rPr>
          <w:rFonts w:ascii="Calibri" w:hAnsi="Calibri"/>
          <w:b/>
          <w:i/>
          <w:color w:val="525866"/>
          <w:sz w:val="22"/>
        </w:rPr>
        <w:t>Implication:</w:t>
      </w:r>
      <w:r>
        <w:rPr>
          <w:rFonts w:ascii="Calibri" w:hAnsi="Calibri"/>
          <w:color w:val="525866"/>
          <w:sz w:val="22"/>
        </w:rPr>
        <w:t xml:space="preserve"> This is a live risk for ORLY's 2Q26 gross margin and SG&amp;A. ORLY's private label penetration above 50% of revenue provides some sourcing flexibility, but motor oil is a high-volume category where cost pass-through may lag.</w:t>
      </w:r>
    </w:p>
    <w:p>
      <w:pPr>
        <w:pStyle w:val="ListBullet"/>
        <w:ind w:left="360" w:hanging="360"/>
      </w:pPr>
      <w:r>
        <w:rPr>
          <w:rFonts w:ascii="Calibri" w:hAnsi="Calibri"/>
          <w:b/>
          <w:color w:val="525866"/>
          <w:sz w:val="22"/>
        </w:rPr>
        <w:t>Ongoing — Elevated Fuel Prices / Consumer Pressure:</w:t>
      </w:r>
      <w:r>
        <w:rPr>
          <w:rFonts w:ascii="Calibri" w:hAnsi="Calibri"/>
          <w:color w:val="525866"/>
          <w:sz w:val="22"/>
        </w:rPr>
        <w:t xml:space="preserve"> Multiple peers (AAP, GPC, AZO) flagged elevated fuel prices as a headwind to consumer demand in Q2 2026. AAP noted a "shoulder period" between tax refunds and peak driving season where consumer behavior is uncertain. GPC noted June average daily sales were "roughly flat" in North America Auto, attributed to a softer market due to higher fuel prices, with improvement in July month-to-date. </w:t>
      </w:r>
      <w:r>
        <w:rPr>
          <w:rFonts w:ascii="Calibri" w:hAnsi="Calibri"/>
          <w:b/>
          <w:i/>
          <w:color w:val="525866"/>
          <w:sz w:val="22"/>
        </w:rPr>
        <w:t>Implication:</w:t>
      </w:r>
      <w:r>
        <w:rPr>
          <w:rFonts w:ascii="Calibri" w:hAnsi="Calibri"/>
          <w:color w:val="525866"/>
          <w:sz w:val="22"/>
        </w:rPr>
        <w:t xml:space="preserve"> June may have been the softest month of ORLY's Q2, consistent with the seasonal pattern. The July improvement noted by GPC is a mild positive read-through for ORLY's Q3 setup.</w:t>
      </w:r>
    </w:p>
    <w:p>
      <w:pPr>
        <w:pStyle w:val="ListBullet"/>
        <w:ind w:left="360" w:hanging="360"/>
      </w:pPr>
      <w:r>
        <w:rPr>
          <w:rFonts w:ascii="Calibri" w:hAnsi="Calibri"/>
          <w:b/>
          <w:color w:val="525866"/>
          <w:sz w:val="22"/>
        </w:rPr>
        <w:t>Ongoing — Tariff Environment:</w:t>
      </w:r>
      <w:r>
        <w:rPr>
          <w:rFonts w:ascii="Calibri" w:hAnsi="Calibri"/>
          <w:color w:val="525866"/>
          <w:sz w:val="22"/>
        </w:rPr>
        <w:t xml:space="preserve"> ORLY stated Q1 gross margins were not materially impacted by tariff changes, and the company's private label penetration above 50% provides sourcing flexibility. AZO noted tariffs on steel and automotive parts "have been in place for quite some time" and some costs are still cycling through inventory. AAP stated recent tariff regulations have not altered its inflation expectations. </w:t>
      </w:r>
      <w:r>
        <w:rPr>
          <w:rFonts w:ascii="Calibri" w:hAnsi="Calibri"/>
          <w:b/>
          <w:i/>
          <w:color w:val="525866"/>
          <w:sz w:val="22"/>
        </w:rPr>
        <w:t>Implication:</w:t>
      </w:r>
      <w:r>
        <w:rPr>
          <w:rFonts w:ascii="Calibri" w:hAnsi="Calibri"/>
          <w:color w:val="525866"/>
          <w:sz w:val="22"/>
        </w:rPr>
        <w:t xml:space="preserve"> Tariffs appear to be a manageable, known headwind rather than a new shock for 2Q26.</w:t>
      </w:r>
    </w:p>
    <w:p>
      <w:pPr>
        <w:pStyle w:val="ListBullet"/>
        <w:ind w:left="360" w:hanging="360"/>
      </w:pPr>
      <w:r>
        <w:rPr>
          <w:rFonts w:ascii="Calibri" w:hAnsi="Calibri"/>
          <w:b/>
          <w:color w:val="525866"/>
          <w:sz w:val="22"/>
        </w:rPr>
        <w:t>Ongoing — Tractor Supply (TSCO) Q2 Miss (July 23, 2026):</w:t>
      </w:r>
      <w:r>
        <w:rPr>
          <w:rFonts w:ascii="Calibri" w:hAnsi="Calibri"/>
          <w:color w:val="525866"/>
          <w:sz w:val="22"/>
        </w:rPr>
        <w:t xml:space="preserve"> TSCO reported Q2 EPS of $0.81 vs. $0.82 expected, with comparable store sales of −1.5% vs. +0.2% expected, citing unusually adverse conditions in May. The company lowered full-year EPS guidance to $1.90–$2.00 from $2.13–$2.23. </w:t>
      </w:r>
      <w:r>
        <w:rPr>
          <w:rFonts w:ascii="Calibri" w:hAnsi="Calibri"/>
          <w:b/>
          <w:i/>
          <w:color w:val="525866"/>
          <w:sz w:val="22"/>
        </w:rPr>
        <w:t>Implication:</w:t>
      </w:r>
      <w:r>
        <w:rPr>
          <w:rFonts w:ascii="Calibri" w:hAnsi="Calibri"/>
          <w:color w:val="525866"/>
          <w:sz w:val="22"/>
        </w:rPr>
        <w:t xml:space="preserve"> Limited direct read-through to ORLY — TSCO serves a different customer (rural lifestyle) and product mix. However, the May softness is consistent with the broader consumer caution narrative. ORLY's business is more needs-based and less discretionary than TSCO.</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ORLY in the research context covering the period since the Q1 2026 earnings release (April 29, 2026). The May 18, 2026 stock option grant to Executive Chairman Henslee is a compensation action, not an open-market transaction. The absence of notable insider selling ahead of earnings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Greg Henslee</w:t>
            </w:r>
          </w:p>
        </w:tc>
        <w:tc>
          <w:tcPr>
            <w:tcW w:type="dxa" w:w="1440"/>
          </w:tcPr>
          <w:p>
            <w:r>
              <w:rPr>
                <w:rFonts w:ascii="Calibri" w:hAnsi="Calibri"/>
                <w:sz w:val="22"/>
              </w:rPr>
              <w:t>Executive Chairman</w:t>
            </w:r>
          </w:p>
        </w:tc>
        <w:tc>
          <w:tcPr>
            <w:tcW w:type="dxa" w:w="1440"/>
          </w:tcPr>
          <w:p>
            <w:r>
              <w:rPr>
                <w:rFonts w:ascii="Calibri" w:hAnsi="Calibri"/>
                <w:sz w:val="22"/>
              </w:rPr>
              <w:t>Stock Option Grant (compensation)</w:t>
            </w:r>
          </w:p>
        </w:tc>
        <w:tc>
          <w:tcPr>
            <w:tcW w:type="dxa" w:w="1440"/>
          </w:tcPr>
          <w:p>
            <w:r>
              <w:rPr>
                <w:rFonts w:ascii="Calibri" w:hAnsi="Calibri"/>
                <w:sz w:val="22"/>
              </w:rPr>
              <w:t>$2,000,000</w:t>
            </w:r>
          </w:p>
        </w:tc>
        <w:tc>
          <w:tcPr>
            <w:tcW w:type="dxa" w:w="1440"/>
          </w:tcPr>
          <w:p>
            <w:r>
              <w:rPr>
                <w:rFonts w:ascii="Calibri" w:hAnsi="Calibri"/>
                <w:sz w:val="22"/>
              </w:rPr>
              <w:t>May 18, 2026</w:t>
            </w:r>
          </w:p>
        </w:tc>
        <w:tc>
          <w:tcPr>
            <w:tcW w:type="dxa" w:w="1440"/>
          </w:tcPr>
          <w:p>
            <w:r>
              <w:rPr>
                <w:rFonts w:ascii="Calibri" w:hAnsi="Calibri"/>
                <w:sz w:val="22"/>
              </w:rPr>
              <w:t>Compensation action per 8-K; not an open-market buy or sell; no directional signal</w:t>
            </w:r>
          </w:p>
        </w:tc>
      </w:tr>
      <w:tr>
        <w:tc>
          <w:tcPr>
            <w:tcW w:type="dxa" w:w="1440"/>
          </w:tcPr>
          <w:p>
            <w:r>
              <w:rPr>
                <w:rFonts w:ascii="Calibri" w:hAnsi="Calibri"/>
                <w:sz w:val="22"/>
              </w:rPr>
              <w:t>No other ORLY insiders</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Since Apr 29, 2026</w:t>
            </w:r>
          </w:p>
        </w:tc>
        <w:tc>
          <w:tcPr>
            <w:tcW w:type="dxa" w:w="1440"/>
          </w:tcPr>
          <w:p>
            <w:r>
              <w:rPr>
                <w:rFonts w:ascii="Calibri" w:hAnsi="Calibri"/>
                <w:sz w:val="22"/>
              </w:rPr>
              <w:t>No open-market buys or sells identified in the research context for the post-Q1 window</w:t>
            </w:r>
          </w:p>
        </w:tc>
      </w:tr>
    </w:tbl>
    <w:p>
      <w:r>
        <w:rPr>
          <w:rFonts w:ascii="Calibri" w:hAnsi="Calibri"/>
          <w:b/>
          <w:color w:val="525866"/>
          <w:sz w:val="22"/>
        </w:rPr>
        <w:t xml:space="preserve">Note: </w:t>
      </w:r>
      <w:r>
        <w:rPr>
          <w:rFonts w:ascii="Calibri" w:hAnsi="Calibri"/>
          <w:i/>
          <w:color w:val="525866"/>
          <w:sz w:val="22"/>
        </w:rPr>
        <w:t>Open-market Form 4 transactions (codes P/S) and Form 144 filings were screened for ORLY for the period April 29 – July 29, 2026. No qualifying transactions were identified in the available research data. The absence of insider selling ahead of a quarterly print is a mild positive but not a strong signal given ORLY's typical insider transaction cadence.</w:t>
      </w:r>
    </w:p>
    <w:p>
      <w:pPr>
        <w:pStyle w:val="Heading2"/>
      </w:pPr>
      <w:r>
        <w:rPr>
          <w:rFonts w:ascii="Calibri" w:hAnsi="Calibri"/>
          <w:b/>
          <w:color w:val="3B4259"/>
          <w:sz w:val="28"/>
        </w:rPr>
        <w:t>Genuine Parts Company (GPC) — Fiscal Q2 2026 Earnings Call (July 21, 2026)</w:t>
      </w:r>
    </w:p>
    <w:p>
      <w:r>
        <w:rPr>
          <w:rFonts w:ascii="Calibri" w:hAnsi="Calibri"/>
          <w:i/>
          <w:color w:val="525866"/>
          <w:sz w:val="22"/>
        </w:rPr>
        <w:t>GPC's fiscal Q2 covers April–June 2026 — the exact same period as ORLY's 2Q26. This is the most direct and timely read-through available, reported just 9 days before ORLY's print.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GPC Commentary (Q2 2026 — April–June 2026)</w:t>
            </w:r>
          </w:p>
        </w:tc>
        <w:tc>
          <w:tcPr>
            <w:tcW w:type="dxa" w:w="2880"/>
            <w:shd w:val="clear" w:color="auto" w:fill="3B4259"/>
          </w:tcPr>
          <w:p>
            <w:r>
              <w:rPr>
                <w:rFonts w:ascii="Calibri" w:hAnsi="Calibri"/>
                <w:b/>
                <w:color w:val="FFFFFF"/>
                <w:sz w:val="22"/>
              </w:rPr>
              <w:t>ORLY Read-Through</w:t>
            </w:r>
          </w:p>
        </w:tc>
      </w:tr>
      <w:tr>
        <w:tc>
          <w:tcPr>
            <w:tcW w:type="dxa" w:w="2880"/>
          </w:tcPr>
          <w:p>
            <w:r>
              <w:rPr>
                <w:rFonts w:ascii="Calibri" w:hAnsi="Calibri"/>
                <w:sz w:val="22"/>
              </w:rPr>
              <w:t>North America Auto Comps</w:t>
            </w:r>
          </w:p>
        </w:tc>
        <w:tc>
          <w:tcPr>
            <w:tcW w:type="dxa" w:w="2880"/>
          </w:tcPr>
          <w:p>
            <w:r>
              <w:rPr>
                <w:rFonts w:ascii="Calibri" w:hAnsi="Calibri"/>
                <w:sz w:val="22"/>
              </w:rPr>
              <w:t>U.S. total sales +3%, comparable sales +3%, price contribution ~2.5%. Average daily sales up low-to-mid single digits in April and May but "roughly flat" in June, attributed to "softer market due to higher fuel prices." July month-to-date improvement noted, "tracking in line with expectations."</w:t>
            </w:r>
          </w:p>
        </w:tc>
        <w:tc>
          <w:tcPr>
            <w:tcW w:type="dxa" w:w="2880"/>
          </w:tcPr>
          <w:p>
            <w:r>
              <w:rPr>
                <w:rFonts w:ascii="Calibri" w:hAnsi="Calibri"/>
                <w:b/>
                <w:color w:val="E5484D"/>
                <w:sz w:val="22"/>
              </w:rPr>
              <w:t>Key read-through: June softness is a risk.</w:t>
            </w:r>
            <w:r>
              <w:rPr>
                <w:rFonts w:ascii="Calibri" w:hAnsi="Calibri"/>
                <w:sz w:val="22"/>
              </w:rPr>
              <w:t xml:space="preserve"> GPC's June deceleration to "roughly flat" due to fuel prices is the most direct data point for ORLY's Q2 exit rate. However, GPC's NAPA business skews more toward independent shops; ORLY's stronger professional relationships and parts availability may have insulated it somewhat. July improvement is a positive signal for Q3.</w:t>
            </w:r>
          </w:p>
        </w:tc>
      </w:tr>
      <w:tr>
        <w:tc>
          <w:tcPr>
            <w:tcW w:type="dxa" w:w="2880"/>
          </w:tcPr>
          <w:p>
            <w:r>
              <w:rPr>
                <w:rFonts w:ascii="Calibri" w:hAnsi="Calibri"/>
                <w:sz w:val="22"/>
              </w:rPr>
              <w:t>Commercial vs. Retail</w:t>
            </w:r>
          </w:p>
        </w:tc>
        <w:tc>
          <w:tcPr>
            <w:tcW w:type="dxa" w:w="2880"/>
          </w:tcPr>
          <w:p>
            <w:r>
              <w:rPr>
                <w:rFonts w:ascii="Calibri" w:hAnsi="Calibri"/>
                <w:sz w:val="22"/>
              </w:rPr>
              <w:t>Commercial (pro) comparable sales +4% at company-owned stores, +5.5% for commercial specifically. Retail (DIY) comparable sales −3%. Non-discretionary repair/maintenance categories up low-to-mid single digits; discretionary categories sequentially improved and up low single digits.</w:t>
            </w:r>
          </w:p>
        </w:tc>
        <w:tc>
          <w:tcPr>
            <w:tcW w:type="dxa" w:w="2880"/>
          </w:tcPr>
          <w:p>
            <w:r>
              <w:rPr>
                <w:rFonts w:ascii="Calibri" w:hAnsi="Calibri"/>
                <w:b/>
                <w:sz w:val="22"/>
              </w:rPr>
              <w:t>Positive for ORLY's Pro, cautious on DIY.</w:t>
            </w:r>
            <w:r>
              <w:rPr>
                <w:rFonts w:ascii="Calibri" w:hAnsi="Calibri"/>
                <w:sz w:val="22"/>
              </w:rPr>
              <w:t xml:space="preserve"> GPC's −3% retail comp is weaker than ORLY's typical DIY performance, but GPC's retail mix is different. The non-discretionary strength (+low-to-mid single digits) is directly relevant to ORLY's hard parts and maintenance categories.</w:t>
            </w:r>
          </w:p>
        </w:tc>
      </w:tr>
      <w:tr>
        <w:tc>
          <w:tcPr>
            <w:tcW w:type="dxa" w:w="2880"/>
          </w:tcPr>
          <w:p>
            <w:r>
              <w:rPr>
                <w:rFonts w:ascii="Calibri" w:hAnsi="Calibri"/>
                <w:sz w:val="22"/>
              </w:rPr>
              <w:t>Iran Conflict / Fuel Cost Impact</w:t>
            </w:r>
          </w:p>
        </w:tc>
        <w:tc>
          <w:tcPr>
            <w:tcW w:type="dxa" w:w="2880"/>
          </w:tcPr>
          <w:p>
            <w:r>
              <w:rPr>
                <w:rFonts w:ascii="Calibri" w:hAnsi="Calibri"/>
                <w:sz w:val="22"/>
              </w:rPr>
              <w:t>Iran conflict resulted in an estimated $16 million negative EBITDA impact in Q2, with all but $1M in the automotive segment. Expects $20–30 million of incremental operating costs in the back half from higher freight and fuel. "Real increases in freight and fuel" — does not expect this to change until conflict resolution.</w:t>
            </w:r>
          </w:p>
        </w:tc>
        <w:tc>
          <w:tcPr>
            <w:tcW w:type="dxa" w:w="2880"/>
          </w:tcPr>
          <w:p>
            <w:r>
              <w:rPr>
                <w:rFonts w:ascii="Calibri" w:hAnsi="Calibri"/>
                <w:b/>
                <w:color w:val="E5484D"/>
                <w:sz w:val="22"/>
              </w:rPr>
              <w:t>Negative read-through for ORLY's gross margin and SG&amp;A.</w:t>
            </w:r>
            <w:r>
              <w:rPr>
                <w:rFonts w:ascii="Calibri" w:hAnsi="Calibri"/>
                <w:sz w:val="22"/>
              </w:rPr>
              <w:t xml:space="preserve"> GPC's $16M EBITDA hit is the first concrete quantification of the Iran conflict impact on an auto parts retailer in Q2. ORLY's motor oil category and freight costs face the same headwinds. ORLY's private label penetration (&gt;50%) provides some buffer, but this is a live risk.</w:t>
            </w:r>
          </w:p>
        </w:tc>
      </w:tr>
      <w:tr>
        <w:tc>
          <w:tcPr>
            <w:tcW w:type="dxa" w:w="2880"/>
          </w:tcPr>
          <w:p>
            <w:r>
              <w:rPr>
                <w:rFonts w:ascii="Calibri" w:hAnsi="Calibri"/>
                <w:sz w:val="22"/>
              </w:rPr>
              <w:t>Pricing / Inflation</w:t>
            </w:r>
          </w:p>
        </w:tc>
        <w:tc>
          <w:tcPr>
            <w:tcW w:type="dxa" w:w="2880"/>
          </w:tcPr>
          <w:p>
            <w:r>
              <w:rPr>
                <w:rFonts w:ascii="Calibri" w:hAnsi="Calibri"/>
                <w:sz w:val="22"/>
              </w:rPr>
              <w:t>Price inflation contributed ~2.5% to North America Auto comps. Gross margin expanded 20 bps driven by strategic pricing and sourcing. Back half of year: total inflation expected in low single-digit range, with about half from tariffs.</w:t>
            </w:r>
          </w:p>
        </w:tc>
        <w:tc>
          <w:tcPr>
            <w:tcW w:type="dxa" w:w="2880"/>
          </w:tcPr>
          <w:p>
            <w:r>
              <w:rPr>
                <w:rFonts w:ascii="Calibri" w:hAnsi="Calibri"/>
                <w:b/>
                <w:sz w:val="22"/>
              </w:rPr>
              <w:t>Constructive for ORLY's pricing environment.</w:t>
            </w:r>
            <w:r>
              <w:rPr>
                <w:rFonts w:ascii="Calibri" w:hAnsi="Calibri"/>
                <w:sz w:val="22"/>
              </w:rPr>
              <w:t xml:space="preserve"> GPC's ability to pass through cost increases and expand gross margin despite inflationary headwinds is a positive signal for the industry's pricing discipline.</w:t>
            </w:r>
          </w:p>
        </w:tc>
      </w:tr>
      <w:tr>
        <w:tc>
          <w:tcPr>
            <w:tcW w:type="dxa" w:w="2880"/>
          </w:tcPr>
          <w:p>
            <w:r>
              <w:rPr>
                <w:rFonts w:ascii="Calibri" w:hAnsi="Calibri"/>
                <w:sz w:val="22"/>
              </w:rPr>
              <w:t>Consumer Sentiment / Demand</w:t>
            </w:r>
          </w:p>
        </w:tc>
        <w:tc>
          <w:tcPr>
            <w:tcW w:type="dxa" w:w="2880"/>
          </w:tcPr>
          <w:p>
            <w:r>
              <w:rPr>
                <w:rFonts w:ascii="Calibri" w:hAnsi="Calibri"/>
                <w:sz w:val="22"/>
              </w:rPr>
              <w:t>"Higher energy prices from the Iran conflict are weakening consumer sentiment." Revenue outlook for global automotive lowered by ~0.5 percentage point. Expects this trend to continue. However, non-discretionary categories remain resilient.</w:t>
            </w:r>
          </w:p>
        </w:tc>
        <w:tc>
          <w:tcPr>
            <w:tcW w:type="dxa" w:w="2880"/>
          </w:tcPr>
          <w:p>
            <w:r>
              <w:rPr>
                <w:rFonts w:ascii="Calibri" w:hAnsi="Calibri"/>
                <w:b/>
                <w:sz w:val="22"/>
              </w:rPr>
              <w:t>Confirms consumer caution narrative.</w:t>
            </w:r>
            <w:r>
              <w:rPr>
                <w:rFonts w:ascii="Calibri" w:hAnsi="Calibri"/>
                <w:sz w:val="22"/>
              </w:rPr>
              <w:t xml:space="preserve"> GPC's lowered automotive revenue outlook is the most direct confirmation that fuel prices are weighing on consumer demand in the April–June quarter. ORLY's more needs-based mix (vs. GPC's broader automotive exposure) should provide relative resilience.</w:t>
            </w:r>
          </w:p>
        </w:tc>
      </w:tr>
      <w:tr>
        <w:tc>
          <w:tcPr>
            <w:tcW w:type="dxa" w:w="2880"/>
          </w:tcPr>
          <w:p>
            <w:r>
              <w:rPr>
                <w:rFonts w:ascii="Calibri" w:hAnsi="Calibri"/>
                <w:sz w:val="22"/>
              </w:rPr>
              <w:t>Full-Year Guidance</w:t>
            </w:r>
          </w:p>
        </w:tc>
        <w:tc>
          <w:tcPr>
            <w:tcW w:type="dxa" w:w="2880"/>
          </w:tcPr>
          <w:p>
            <w:r>
              <w:rPr>
                <w:rFonts w:ascii="Calibri" w:hAnsi="Calibri"/>
                <w:sz w:val="22"/>
              </w:rPr>
              <w:t>Reaffirmed FY26 adjusted EPS guidance of $7.50–$8.00. Lowered diluted EPS range to $5.90–$6.40 (from $6.10–$6.60) due to restructuring and separation costs. Total sales growth guidance of 3–5.5% maintained.</w:t>
            </w:r>
          </w:p>
        </w:tc>
        <w:tc>
          <w:tcPr>
            <w:tcW w:type="dxa" w:w="2880"/>
          </w:tcPr>
          <w:p>
            <w:r>
              <w:rPr>
                <w:rFonts w:ascii="Calibri" w:hAnsi="Calibri"/>
                <w:b/>
                <w:sz w:val="22"/>
              </w:rPr>
              <w:t>Neutral read-through.</w:t>
            </w:r>
            <w:r>
              <w:rPr>
                <w:rFonts w:ascii="Calibri" w:hAnsi="Calibri"/>
                <w:sz w:val="22"/>
              </w:rPr>
              <w:t xml:space="preserve"> GPC's reaffirmation of adjusted EPS guidance despite the Iran conflict headwind suggests the underlying business is absorbing the cost pressures. ORLY's stronger comp trajectory and margin profile suggest it is better positioned to absorb similar headwinds.</w:t>
            </w:r>
          </w:p>
        </w:tc>
      </w:tr>
    </w:tbl>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Primary Source</w:t>
            </w:r>
          </w:p>
        </w:tc>
        <w:tc>
          <w:tcPr>
            <w:tcW w:type="dxa" w:w="2160"/>
            <w:shd w:val="clear" w:color="auto" w:fill="3B4259"/>
          </w:tcPr>
          <w:p>
            <w:r>
              <w:rPr>
                <w:rFonts w:ascii="Calibri" w:hAnsi="Calibri"/>
                <w:b/>
                <w:color w:val="FFFFFF"/>
                <w:sz w:val="22"/>
              </w:rPr>
              <w:t>Confidence</w:t>
            </w:r>
          </w:p>
        </w:tc>
      </w:tr>
      <w:tr>
        <w:tc>
          <w:tcPr>
            <w:tcW w:type="dxa" w:w="2160"/>
          </w:tcPr>
          <w:p>
            <w:r>
              <w:rPr>
                <w:rFonts w:ascii="Calibri" w:hAnsi="Calibri"/>
                <w:sz w:val="22"/>
              </w:rPr>
              <w:t>Professional / Commercial comps remain strong through May</w:t>
            </w:r>
          </w:p>
        </w:tc>
        <w:tc>
          <w:tcPr>
            <w:tcW w:type="dxa" w:w="2160"/>
          </w:tcPr>
          <w:p>
            <w:r>
              <w:rPr>
                <w:rFonts w:ascii="Calibri" w:hAnsi="Calibri"/>
                <w:b/>
                <w:color w:val="30A46C"/>
                <w:sz w:val="22"/>
              </w:rPr>
              <w:t>Positive</w:t>
            </w:r>
          </w:p>
        </w:tc>
        <w:tc>
          <w:tcPr>
            <w:tcW w:type="dxa" w:w="2160"/>
          </w:tcPr>
          <w:p>
            <w:r>
              <w:rPr>
                <w:rFonts w:ascii="Calibri" w:hAnsi="Calibri"/>
                <w:sz w:val="22"/>
              </w:rPr>
              <w:t>AZO (+10.4% commercial, Mar–May)</w:t>
            </w:r>
          </w:p>
        </w:tc>
        <w:tc>
          <w:tcPr>
            <w:tcW w:type="dxa" w:w="2160"/>
          </w:tcPr>
          <w:p>
            <w:r>
              <w:rPr>
                <w:rFonts w:ascii="Calibri" w:hAnsi="Calibri"/>
                <w:sz w:val="22"/>
              </w:rPr>
              <w:t>High</w:t>
            </w:r>
          </w:p>
        </w:tc>
      </w:tr>
      <w:tr>
        <w:tc>
          <w:tcPr>
            <w:tcW w:type="dxa" w:w="2160"/>
          </w:tcPr>
          <w:p>
            <w:r>
              <w:rPr>
                <w:rFonts w:ascii="Calibri" w:hAnsi="Calibri"/>
                <w:sz w:val="22"/>
              </w:rPr>
              <w:t>Same-SKU inflation supportive of ticket growth through May</w:t>
            </w:r>
          </w:p>
        </w:tc>
        <w:tc>
          <w:tcPr>
            <w:tcW w:type="dxa" w:w="2160"/>
          </w:tcPr>
          <w:p>
            <w:r>
              <w:rPr>
                <w:rFonts w:ascii="Calibri" w:hAnsi="Calibri"/>
                <w:b/>
                <w:color w:val="30A46C"/>
                <w:sz w:val="22"/>
              </w:rPr>
              <w:t>Positive</w:t>
            </w:r>
          </w:p>
        </w:tc>
        <w:tc>
          <w:tcPr>
            <w:tcW w:type="dxa" w:w="2160"/>
          </w:tcPr>
          <w:p>
            <w:r>
              <w:rPr>
                <w:rFonts w:ascii="Calibri" w:hAnsi="Calibri"/>
                <w:sz w:val="22"/>
              </w:rPr>
              <w:t>AZO (+7% same-SKU inflation)</w:t>
            </w:r>
          </w:p>
        </w:tc>
        <w:tc>
          <w:tcPr>
            <w:tcW w:type="dxa" w:w="2160"/>
          </w:tcPr>
          <w:p>
            <w:r>
              <w:rPr>
                <w:rFonts w:ascii="Calibri" w:hAnsi="Calibri"/>
                <w:sz w:val="22"/>
              </w:rPr>
              <w:t>High</w:t>
            </w:r>
          </w:p>
        </w:tc>
      </w:tr>
      <w:tr>
        <w:tc>
          <w:tcPr>
            <w:tcW w:type="dxa" w:w="2160"/>
          </w:tcPr>
          <w:p>
            <w:r>
              <w:rPr>
                <w:rFonts w:ascii="Calibri" w:hAnsi="Calibri"/>
                <w:sz w:val="22"/>
              </w:rPr>
              <w:t>Hot summer expected — heat-related category tailwind for June/Q3</w:t>
            </w:r>
          </w:p>
        </w:tc>
        <w:tc>
          <w:tcPr>
            <w:tcW w:type="dxa" w:w="2160"/>
          </w:tcPr>
          <w:p>
            <w:r>
              <w:rPr>
                <w:rFonts w:ascii="Calibri" w:hAnsi="Calibri"/>
                <w:b/>
                <w:color w:val="30A46C"/>
                <w:sz w:val="22"/>
              </w:rPr>
              <w:t>Positive</w:t>
            </w:r>
          </w:p>
        </w:tc>
        <w:tc>
          <w:tcPr>
            <w:tcW w:type="dxa" w:w="2160"/>
          </w:tcPr>
          <w:p>
            <w:r>
              <w:rPr>
                <w:rFonts w:ascii="Calibri" w:hAnsi="Calibri"/>
                <w:sz w:val="22"/>
              </w:rPr>
              <w:t>AZO (forward guidance)</w:t>
            </w:r>
          </w:p>
        </w:tc>
        <w:tc>
          <w:tcPr>
            <w:tcW w:type="dxa" w:w="2160"/>
          </w:tcPr>
          <w:p>
            <w:r>
              <w:rPr>
                <w:rFonts w:ascii="Calibri" w:hAnsi="Calibri"/>
                <w:sz w:val="22"/>
              </w:rPr>
              <w:t>Medium</w:t>
            </w:r>
          </w:p>
        </w:tc>
      </w:tr>
      <w:tr>
        <w:tc>
          <w:tcPr>
            <w:tcW w:type="dxa" w:w="2160"/>
          </w:tcPr>
          <w:p>
            <w:r>
              <w:rPr>
                <w:rFonts w:ascii="Calibri" w:hAnsi="Calibri"/>
                <w:sz w:val="22"/>
              </w:rPr>
              <w:t>June auto parts demand softened due to elevated fuel prices</w:t>
            </w:r>
          </w:p>
        </w:tc>
        <w:tc>
          <w:tcPr>
            <w:tcW w:type="dxa" w:w="2160"/>
          </w:tcPr>
          <w:p>
            <w:r>
              <w:rPr>
                <w:rFonts w:ascii="Calibri" w:hAnsi="Calibri"/>
                <w:b/>
                <w:color w:val="E5484D"/>
                <w:sz w:val="22"/>
              </w:rPr>
              <w:t>Negative</w:t>
            </w:r>
          </w:p>
        </w:tc>
        <w:tc>
          <w:tcPr>
            <w:tcW w:type="dxa" w:w="2160"/>
          </w:tcPr>
          <w:p>
            <w:r>
              <w:rPr>
                <w:rFonts w:ascii="Calibri" w:hAnsi="Calibri"/>
                <w:sz w:val="22"/>
              </w:rPr>
              <w:t>GPC (June avg daily sales "roughly flat")</w:t>
            </w:r>
          </w:p>
        </w:tc>
        <w:tc>
          <w:tcPr>
            <w:tcW w:type="dxa" w:w="2160"/>
          </w:tcPr>
          <w:p>
            <w:r>
              <w:rPr>
                <w:rFonts w:ascii="Calibri" w:hAnsi="Calibri"/>
                <w:sz w:val="22"/>
              </w:rPr>
              <w:t>High</w:t>
            </w:r>
          </w:p>
        </w:tc>
      </w:tr>
      <w:tr>
        <w:tc>
          <w:tcPr>
            <w:tcW w:type="dxa" w:w="2160"/>
          </w:tcPr>
          <w:p>
            <w:r>
              <w:rPr>
                <w:rFonts w:ascii="Calibri" w:hAnsi="Calibri"/>
                <w:sz w:val="22"/>
              </w:rPr>
              <w:t>Iran conflict / fuel costs created $16M EBITDA headwind in Q2 for auto parts</w:t>
            </w:r>
          </w:p>
        </w:tc>
        <w:tc>
          <w:tcPr>
            <w:tcW w:type="dxa" w:w="2160"/>
          </w:tcPr>
          <w:p>
            <w:r>
              <w:rPr>
                <w:rFonts w:ascii="Calibri" w:hAnsi="Calibri"/>
                <w:b/>
                <w:color w:val="E5484D"/>
                <w:sz w:val="22"/>
              </w:rPr>
              <w:t>Negative</w:t>
            </w:r>
          </w:p>
        </w:tc>
        <w:tc>
          <w:tcPr>
            <w:tcW w:type="dxa" w:w="2160"/>
          </w:tcPr>
          <w:p>
            <w:r>
              <w:rPr>
                <w:rFonts w:ascii="Calibri" w:hAnsi="Calibri"/>
                <w:sz w:val="22"/>
              </w:rPr>
              <w:t>GPC (Q2 2026 results)</w:t>
            </w:r>
          </w:p>
        </w:tc>
        <w:tc>
          <w:tcPr>
            <w:tcW w:type="dxa" w:w="2160"/>
          </w:tcPr>
          <w:p>
            <w:r>
              <w:rPr>
                <w:rFonts w:ascii="Calibri" w:hAnsi="Calibri"/>
                <w:sz w:val="22"/>
              </w:rPr>
              <w:t>High</w:t>
            </w:r>
          </w:p>
        </w:tc>
      </w:tr>
      <w:tr>
        <w:tc>
          <w:tcPr>
            <w:tcW w:type="dxa" w:w="2160"/>
          </w:tcPr>
          <w:p>
            <w:r>
              <w:rPr>
                <w:rFonts w:ascii="Calibri" w:hAnsi="Calibri"/>
                <w:sz w:val="22"/>
              </w:rPr>
              <w:t>Non-discretionary repair/maintenance categories resilient despite consumer pressure</w:t>
            </w:r>
          </w:p>
        </w:tc>
        <w:tc>
          <w:tcPr>
            <w:tcW w:type="dxa" w:w="2160"/>
          </w:tcPr>
          <w:p>
            <w:r>
              <w:rPr>
                <w:rFonts w:ascii="Calibri" w:hAnsi="Calibri"/>
                <w:b/>
                <w:color w:val="30A46C"/>
                <w:sz w:val="22"/>
              </w:rPr>
              <w:t>Positive</w:t>
            </w:r>
          </w:p>
        </w:tc>
        <w:tc>
          <w:tcPr>
            <w:tcW w:type="dxa" w:w="2160"/>
          </w:tcPr>
          <w:p>
            <w:r>
              <w:rPr>
                <w:rFonts w:ascii="Calibri" w:hAnsi="Calibri"/>
                <w:sz w:val="22"/>
              </w:rPr>
              <w:t>GPC, AAP</w:t>
            </w:r>
          </w:p>
        </w:tc>
        <w:tc>
          <w:tcPr>
            <w:tcW w:type="dxa" w:w="2160"/>
          </w:tcPr>
          <w:p>
            <w:r>
              <w:rPr>
                <w:rFonts w:ascii="Calibri" w:hAnsi="Calibri"/>
                <w:sz w:val="22"/>
              </w:rPr>
              <w:t>High</w:t>
            </w:r>
          </w:p>
        </w:tc>
      </w:tr>
      <w:tr>
        <w:tc>
          <w:tcPr>
            <w:tcW w:type="dxa" w:w="2160"/>
          </w:tcPr>
          <w:p>
            <w:r>
              <w:rPr>
                <w:rFonts w:ascii="Calibri" w:hAnsi="Calibri"/>
                <w:sz w:val="22"/>
              </w:rPr>
              <w:t>Consumer caution / fuel price headwind to DIY demand in Q2</w:t>
            </w:r>
          </w:p>
        </w:tc>
        <w:tc>
          <w:tcPr>
            <w:tcW w:type="dxa" w:w="2160"/>
          </w:tcPr>
          <w:p>
            <w:r>
              <w:rPr>
                <w:rFonts w:ascii="Calibri" w:hAnsi="Calibri"/>
                <w:b/>
                <w:color w:val="E5484D"/>
                <w:sz w:val="22"/>
              </w:rPr>
              <w:t>Negative</w:t>
            </w:r>
          </w:p>
        </w:tc>
        <w:tc>
          <w:tcPr>
            <w:tcW w:type="dxa" w:w="2160"/>
          </w:tcPr>
          <w:p>
            <w:r>
              <w:rPr>
                <w:rFonts w:ascii="Calibri" w:hAnsi="Calibri"/>
                <w:sz w:val="22"/>
              </w:rPr>
              <w:t>AAP, GPC</w:t>
            </w:r>
          </w:p>
        </w:tc>
        <w:tc>
          <w:tcPr>
            <w:tcW w:type="dxa" w:w="2160"/>
          </w:tcPr>
          <w:p>
            <w:r>
              <w:rPr>
                <w:rFonts w:ascii="Calibri" w:hAnsi="Calibri"/>
                <w:sz w:val="22"/>
              </w:rPr>
              <w:t>High</w:t>
            </w:r>
          </w:p>
        </w:tc>
      </w:tr>
      <w:tr>
        <w:tc>
          <w:tcPr>
            <w:tcW w:type="dxa" w:w="2160"/>
          </w:tcPr>
          <w:p>
            <w:r>
              <w:rPr>
                <w:rFonts w:ascii="Calibri" w:hAnsi="Calibri"/>
                <w:sz w:val="22"/>
              </w:rPr>
              <w:t>July demand improving month-to-date (positive Q3 setup)</w:t>
            </w:r>
          </w:p>
        </w:tc>
        <w:tc>
          <w:tcPr>
            <w:tcW w:type="dxa" w:w="2160"/>
          </w:tcPr>
          <w:p>
            <w:r>
              <w:rPr>
                <w:rFonts w:ascii="Calibri" w:hAnsi="Calibri"/>
                <w:b/>
                <w:color w:val="30A46C"/>
                <w:sz w:val="22"/>
              </w:rPr>
              <w:t>Positive</w:t>
            </w:r>
          </w:p>
        </w:tc>
        <w:tc>
          <w:tcPr>
            <w:tcW w:type="dxa" w:w="2160"/>
          </w:tcPr>
          <w:p>
            <w:r>
              <w:rPr>
                <w:rFonts w:ascii="Calibri" w:hAnsi="Calibri"/>
                <w:sz w:val="22"/>
              </w:rPr>
              <w:t>GPC (July MTD commentary)</w:t>
            </w:r>
          </w:p>
        </w:tc>
        <w:tc>
          <w:tcPr>
            <w:tcW w:type="dxa" w:w="2160"/>
          </w:tcPr>
          <w:p>
            <w:r>
              <w:rPr>
                <w:rFonts w:ascii="Calibri" w:hAnsi="Calibri"/>
                <w:sz w:val="22"/>
              </w:rPr>
              <w:t>Medium</w:t>
            </w:r>
          </w:p>
        </w:tc>
      </w:tr>
      <w:tr>
        <w:tc>
          <w:tcPr>
            <w:tcW w:type="dxa" w:w="2160"/>
          </w:tcPr>
          <w:p>
            <w:r>
              <w:rPr>
                <w:rFonts w:ascii="Calibri" w:hAnsi="Calibri"/>
                <w:sz w:val="22"/>
              </w:rPr>
              <w:t>Tariffs manageable / not altering inflation expectations</w:t>
            </w:r>
          </w:p>
        </w:tc>
        <w:tc>
          <w:tcPr>
            <w:tcW w:type="dxa" w:w="2160"/>
          </w:tcPr>
          <w:p>
            <w:r>
              <w:rPr>
                <w:rFonts w:ascii="Calibri" w:hAnsi="Calibri"/>
                <w:sz w:val="22"/>
              </w:rPr>
              <w:t>Neutral</w:t>
            </w:r>
          </w:p>
        </w:tc>
        <w:tc>
          <w:tcPr>
            <w:tcW w:type="dxa" w:w="2160"/>
          </w:tcPr>
          <w:p>
            <w:r>
              <w:rPr>
                <w:rFonts w:ascii="Calibri" w:hAnsi="Calibri"/>
                <w:sz w:val="22"/>
              </w:rPr>
              <w:t>AAP, AZO</w:t>
            </w:r>
          </w:p>
        </w:tc>
        <w:tc>
          <w:tcPr>
            <w:tcW w:type="dxa" w:w="2160"/>
          </w:tcPr>
          <w:p>
            <w:r>
              <w:rPr>
                <w:rFonts w:ascii="Calibri" w:hAnsi="Calibri"/>
                <w:sz w:val="22"/>
              </w:rPr>
              <w:t>High</w:t>
            </w:r>
          </w:p>
        </w:tc>
      </w:tr>
    </w:tbl>
    <w:p>
      <w:r>
        <w:rPr>
          <w:rFonts w:ascii="Calibri" w:hAnsi="Calibri"/>
          <w:b/>
          <w:color w:val="525866"/>
          <w:sz w:val="22"/>
        </w:rPr>
        <w:t xml:space="preserve">Overall Peer Read-Through Assessment: </w:t>
      </w:r>
      <w:r>
        <w:rPr>
          <w:rFonts w:ascii="Calibri" w:hAnsi="Calibri"/>
          <w:color w:val="525866"/>
          <w:sz w:val="22"/>
        </w:rPr>
        <w:t>The peer data paints a nuanced picture for ORLY's 2Q26. The professional/commercial business is clearly strong through May (AZO +10.4% commercial), and same-SKU inflation is supportive of ticket growth. However, June was a soft month for auto parts demand across the industry (GPC's "roughly flat" June), driven by elevated fuel prices and consumer caution. The Iran conflict has created a quantifiable cost headwind ($16M EBITDA for GPC in Q2) that ORLY will also face, though ORLY's private label penetration and stronger pricing power provide some buffer. On balance, the peer data supports a comp in the 4–6% range for ORLY's 2Q26 — consistent with consensus at ~5.2% — with the key uncertainty being the magnitude of the gross margin headwind from fuel and freight costs.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