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PACCAR (PCAR) before writing the preview. Let me start by gathering recent filings, transcripts, and news.Let me read the most recent earnings materials (Q1 2026) and the prior quarter's call, plus check for recent news.Now let me get the year-ago Q2 2025 release for comparison, recent news, and stock price context.Let me pull the Q3 and Q4 2025 releases for trend context, and search for recent news.Let me get recent industry context and consensus expectations.I now have a comprehensive picture. Let me write the earnings preview.</w:t>
      </w:r>
    </w:p>
    <w:bookmarkStart w:id="15" w:name="paccar-pcar--q2-2026-earnings-preview"/>
    <w:p>
      <w:pPr>
        <w:pStyle w:val="Heading1"/>
      </w:pPr>
      <w:r>
        <w:t xml:space="preserve">PACCAR (PCAR) — Q2 2026 Earnings Preview</w:t>
      </w:r>
    </w:p>
    <w:p>
      <w:pPr>
        <w:pStyle w:val="FirstParagraph"/>
      </w:pPr>
      <w:r>
        <w:rPr>
          <w:b/>
          <w:bCs/>
        </w:rPr>
        <w:t xml:space="preserve">Report date:</w:t>
      </w:r>
      <w:r>
        <w:t xml:space="preserve"> </w:t>
      </w:r>
      <w:r>
        <w:t xml:space="preserve">Tuesday, July 28, 2026 (before market open) | Conference call to follow</w:t>
      </w:r>
    </w:p>
    <w:p>
      <w:r>
        <w:pict>
          <v:rect style="width:0;height:1.5pt" o:hralign="center" o:hrstd="t" o:hr="t"/>
        </w:pict>
      </w:r>
    </w:p>
    <w:bookmarkStart w:id="9" w:name="the-one-line-setup"/>
    <w:p>
      <w:pPr>
        <w:pStyle w:val="Heading2"/>
      </w:pPr>
      <w:r>
        <w:t xml:space="preserve">The one-line setup</w:t>
      </w:r>
    </w:p>
    <w:p>
      <w:pPr>
        <w:pStyle w:val="FirstParagraph"/>
      </w:pPr>
      <w:r>
        <w:t xml:space="preserve">PACCAR heads into Q2 as a</w:t>
      </w:r>
      <w:r>
        <w:t xml:space="preserve"> </w:t>
      </w:r>
      <w:r>
        <w:rPr>
          <w:b/>
          <w:bCs/>
        </w:rPr>
        <w:t xml:space="preserve">"trough-is-behind-us" story with a rich stock.</w:t>
      </w:r>
      <w:r>
        <w:t xml:space="preserve"> </w:t>
      </w:r>
      <w:r>
        <w:t xml:space="preserve">The North American Class 8 market is inflecting, order boards are filling for a 2027 emissions pre-buy, and PACCAR's local-for-local manufacturing shields it from tariffs — but the shares have already rallied ~20% year-to-date to fresh highs, leaving little room for disappointment on the two things that matter most this print:</w:t>
      </w:r>
      <w:r>
        <w:t xml:space="preserve"> </w:t>
      </w:r>
      <w:r>
        <w:rPr>
          <w:b/>
          <w:bCs/>
        </w:rPr>
        <w:t xml:space="preserve">the Q2 gross-margin walk and the credibility of the second-half volume ramp.</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rPr>
          <w:b/>
          <w:bCs/>
        </w:rPr>
        <w:t xml:space="preserve">EPS:</w:t>
      </w:r>
      <w:r>
        <w:t xml:space="preserve"> </w:t>
      </w:r>
      <w:r>
        <w:t xml:space="preserve">~</w:t>
      </w:r>
      <m:oMath>
        <m:r>
          <m:t>1.32</m:t>
        </m:r>
        <m:r>
          <m:rPr>
            <m:sty m:val="p"/>
          </m:rPr>
          <m:t>–</m:t>
        </m:r>
      </m:oMath>
      <w:r>
        <w:t xml:space="preserve">1.34, roughly</w:t>
      </w:r>
      <w:r>
        <w:t xml:space="preserve"> </w:t>
      </w:r>
      <w:r>
        <w:rPr>
          <w:b/>
          <w:bCs/>
        </w:rPr>
        <w:t xml:space="preserve">-2% to -4% year-over-year</w:t>
      </w:r>
      <w:r>
        <w:t xml:space="preserve"> </w:t>
      </w:r>
      <w:r>
        <w:t xml:space="preserve">vs. $1.37 in Q2 2025. PACCAR has met or beaten the bottom line in each of the last four quarters.</w:t>
      </w:r>
    </w:p>
    <w:p>
      <w:pPr>
        <w:pStyle w:val="Compact"/>
        <w:numPr>
          <w:ilvl w:val="0"/>
          <w:numId w:val="1001"/>
        </w:numPr>
      </w:pPr>
      <w:r>
        <w:rPr>
          <w:b/>
          <w:bCs/>
        </w:rPr>
        <w:t xml:space="preserve">Revenue:</w:t>
      </w:r>
      <w:r>
        <w:t xml:space="preserve"> </w:t>
      </w:r>
      <w:r>
        <w:t xml:space="preserve">~$7.1 billion, up ~2% YoY (vs. $7.51B a year ago — note last year included a Parts revenue record).</w:t>
      </w:r>
    </w:p>
    <w:p>
      <w:pPr>
        <w:pStyle w:val="Compact"/>
        <w:numPr>
          <w:ilvl w:val="0"/>
          <w:numId w:val="1001"/>
        </w:numPr>
      </w:pPr>
      <w:r>
        <w:rPr>
          <w:b/>
          <w:bCs/>
        </w:rPr>
        <w:t xml:space="preserve">Segment consensus:</w:t>
      </w:r>
      <w:r>
        <w:t xml:space="preserve"> </w:t>
      </w:r>
      <w:r>
        <w:t xml:space="preserve">Truck ~</w:t>
      </w:r>
      <m:oMath>
        <m:r>
          <m:t>5.15</m:t>
        </m:r>
        <m:r>
          <m:t>B</m:t>
        </m:r>
        <m:r>
          <m:rPr>
            <m:sty m:val="p"/>
          </m:rPr>
          <m:t>(</m:t>
        </m:r>
        <m:r>
          <m:rPr>
            <m:sty m:val="p"/>
          </m:rPr>
          <m:t>−</m:t>
        </m:r>
        <m:r>
          <m:t>1.8</m:t>
        </m:r>
      </m:oMath>
      <w:r>
        <w:t xml:space="preserve">1.78B (+3.2% YoY), Financial Services ~$540M (-1.4% YoY).</w:t>
      </w:r>
    </w:p>
    <w:p>
      <w:pPr>
        <w:pStyle w:val="Compact"/>
        <w:numPr>
          <w:ilvl w:val="0"/>
          <w:numId w:val="1001"/>
        </w:numPr>
      </w:pPr>
      <w:r>
        <w:rPr>
          <w:b/>
          <w:bCs/>
        </w:rPr>
        <w:t xml:space="preserve">Full-year 2026 EPS:</w:t>
      </w:r>
      <w:r>
        <w:t xml:space="preserve"> </w:t>
      </w:r>
      <w:r>
        <w:t xml:space="preserve">~$5.59, up ~11.6% from $5.01 adjusted in 2025.</w:t>
      </w:r>
    </w:p>
    <w:p>
      <w:pPr>
        <w:pStyle w:val="Compact"/>
        <w:numPr>
          <w:ilvl w:val="0"/>
          <w:numId w:val="1001"/>
        </w:numPr>
      </w:pPr>
      <w:r>
        <w:rPr>
          <w:b/>
          <w:bCs/>
        </w:rPr>
        <w:t xml:space="preserve">Sentiment/valuation:</w:t>
      </w:r>
      <w:r>
        <w:t xml:space="preserve"> </w:t>
      </w:r>
      <w:r>
        <w:t xml:space="preserve">Consensus is a cautious "Hold/Moderate Buy," with mean price targets clustered in the low-to-mid</w:t>
      </w:r>
      <w:r>
        <w:t xml:space="preserve"> </w:t>
      </w:r>
      <m:oMath>
        <m:r>
          <m:t>120</m:t>
        </m:r>
        <m:r>
          <m:t>s</m:t>
        </m:r>
        <m:r>
          <m:rPr>
            <m:sty m:val="p"/>
          </m:rPr>
          <m:t>—</m:t>
        </m:r>
        <m:r>
          <m:rPr>
            <m:sty m:val="p"/>
          </m:rPr>
          <m:t>*</m:t>
        </m:r>
        <m:r>
          <m:rPr>
            <m:sty m:val="p"/>
          </m:rPr>
          <m:t>*</m:t>
        </m:r>
        <m:r>
          <m:t>b</m:t>
        </m:r>
        <m:r>
          <m:t>e</m:t>
        </m:r>
        <m:r>
          <m:t>l</m:t>
        </m:r>
        <m:r>
          <m:t>o</m:t>
        </m:r>
        <m:r>
          <m:t>w</m:t>
        </m:r>
        <m:r>
          <m:rPr>
            <m:sty m:val="p"/>
          </m:rPr>
          <m:t>*</m:t>
        </m:r>
        <m:r>
          <m:rPr>
            <m:sty m:val="p"/>
          </m:rPr>
          <m:t>*</m:t>
        </m:r>
        <m:r>
          <m:t>t</m:t>
        </m:r>
        <m:r>
          <m:t>h</m:t>
        </m:r>
        <m:r>
          <m:t>e</m:t>
        </m:r>
        <m:r>
          <m:t> </m:t>
        </m:r>
      </m:oMath>
      <w:r>
        <w:t xml:space="preserve">133 close on July 27. The stock has run ahead of published targets.</w:t>
      </w:r>
    </w:p>
    <w:p>
      <w:r>
        <w:pict>
          <v:rect style="width:0;height:1.5pt" o:hralign="center" o:hrstd="t" o:hr="t"/>
        </w:pict>
      </w:r>
    </w:p>
    <w:bookmarkEnd w:id="10"/>
    <w:bookmarkStart w:id="11" w:name="X4150cb126adf61e6bcbee3ef11089f3259873e1"/>
    <w:p>
      <w:pPr>
        <w:pStyle w:val="Heading2"/>
      </w:pPr>
      <w:r>
        <w:t xml:space="preserve">Management's own Q2 guidance (given on the April call)</w:t>
      </w:r>
    </w:p>
    <w:p>
      <w:pPr>
        <w:pStyle w:val="FirstParagraph"/>
      </w:pPr>
      <w:r>
        <w:t xml:space="preserve">This is the scorecard investors will grade against: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Q2 2026 guide</w:t>
            </w:r>
          </w:p>
        </w:tc>
      </w:tr>
      <w:tr>
        <w:tc>
          <w:tcPr/>
          <w:p>
            <w:pPr>
              <w:pStyle w:val="Compact"/>
            </w:pPr>
            <w:r>
              <w:t xml:space="preserve">Global truck deliveries</w:t>
            </w:r>
          </w:p>
        </w:tc>
        <w:tc>
          <w:tcPr/>
          <w:p>
            <w:pPr>
              <w:pStyle w:val="Compact"/>
            </w:pPr>
            <w:r>
              <w:t xml:space="preserve">33,100</w:t>
            </w:r>
          </w:p>
        </w:tc>
        <w:tc>
          <w:tcPr/>
          <w:p>
            <w:pPr>
              <w:pStyle w:val="Compact"/>
            </w:pPr>
            <w:r>
              <w:rPr>
                <w:b/>
                <w:bCs/>
              </w:rPr>
              <w:t xml:space="preserve">37,000–38,000</w:t>
            </w:r>
          </w:p>
        </w:tc>
      </w:tr>
      <w:tr>
        <w:tc>
          <w:tcPr/>
          <w:p>
            <w:pPr>
              <w:pStyle w:val="Compact"/>
            </w:pPr>
            <w:r>
              <w:t xml:space="preserve">Truck/Parts/Other gross margin</w:t>
            </w:r>
          </w:p>
        </w:tc>
        <w:tc>
          <w:tcPr/>
          <w:p>
            <w:pPr>
              <w:pStyle w:val="Compact"/>
            </w:pPr>
            <w:r>
              <w:t xml:space="preserve">13.1%</w:t>
            </w:r>
          </w:p>
        </w:tc>
        <w:tc>
          <w:tcPr/>
          <w:p>
            <w:pPr>
              <w:pStyle w:val="Compact"/>
            </w:pPr>
            <w:r>
              <w:rPr>
                <w:b/>
                <w:bCs/>
              </w:rPr>
              <w:t xml:space="preserve">~13.5%</w:t>
            </w:r>
          </w:p>
        </w:tc>
      </w:tr>
      <w:tr>
        <w:tc>
          <w:tcPr/>
          <w:p>
            <w:pPr>
              <w:pStyle w:val="Compact"/>
            </w:pPr>
            <w:r>
              <w:t xml:space="preserve">Parts sales growth (YoY)</w:t>
            </w:r>
          </w:p>
        </w:tc>
        <w:tc>
          <w:tcPr/>
          <w:p>
            <w:pPr>
              <w:pStyle w:val="Compact"/>
            </w:pPr>
            <w:r>
              <w:t xml:space="preserve">~+1%</w:t>
            </w:r>
          </w:p>
        </w:tc>
        <w:tc>
          <w:tcPr/>
          <w:p>
            <w:pPr>
              <w:pStyle w:val="Compact"/>
            </w:pPr>
            <w:r>
              <w:rPr>
                <w:b/>
                <w:bCs/>
              </w:rPr>
              <w:t xml:space="preserve">~+3%</w:t>
            </w:r>
            <w:r>
              <w:t xml:space="preserve"> </w:t>
            </w:r>
            <w:r>
              <w:t xml:space="preserve">(3–6% full year)</w:t>
            </w:r>
          </w:p>
        </w:tc>
      </w:tr>
    </w:tbl>
    <w:p>
      <w:pPr>
        <w:pStyle w:val="BodyText"/>
      </w:pPr>
      <w:r>
        <w:t xml:space="preserve">Management framed 13.5% as a volume-driven step-up,</w:t>
      </w:r>
      <w:r>
        <w:t xml:space="preserve"> </w:t>
      </w:r>
      <w:r>
        <w:rPr>
          <w:b/>
          <w:bCs/>
        </w:rPr>
        <w:t xml:space="preserve">partially offset by competitive pricing</w:t>
      </w:r>
      <w:r>
        <w:t xml:space="preserve"> </w:t>
      </w:r>
      <w:r>
        <w:t xml:space="preserve">(tariffs not yet fully passed through) and higher steel/aluminum/energy costs — plus a mix drag as lower-margin truck volume grows faster than Parts. They guided to</w:t>
      </w:r>
      <w:r>
        <w:t xml:space="preserve"> </w:t>
      </w:r>
      <w:r>
        <w:rPr>
          <w:b/>
          <w:bCs/>
        </w:rPr>
        <w:t xml:space="preserve">continued sequential margin improvement in 2H.</w:t>
      </w:r>
    </w:p>
    <w:p>
      <w:r>
        <w:pict>
          <v:rect style="width:0;height:1.5pt" o:hralign="center" o:hrstd="t" o:hr="t"/>
        </w:pict>
      </w:r>
    </w:p>
    <w:bookmarkEnd w:id="11"/>
    <w:bookmarkStart w:id="12" w:name="Xfdb19e604921703b85e0d88d920e3f923d1f7e9"/>
    <w:p>
      <w:pPr>
        <w:pStyle w:val="Heading2"/>
      </w:pPr>
      <w:r>
        <w:t xml:space="preserve">The trajectory into the quarter (why the tone has shifted positive)</w:t>
      </w:r>
    </w:p>
    <w:p>
      <w:pPr>
        <w:pStyle w:val="FirstParagraph"/>
      </w:pPr>
      <w:r>
        <w:rPr>
          <w:b/>
          <w:bCs/>
        </w:rPr>
        <w:t xml:space="preserve">1. Volume has bottomed and is ramping.</w:t>
      </w:r>
      <w:r>
        <w:t xml:space="preserve"> </w:t>
      </w:r>
      <w:r>
        <w:t xml:space="preserve">Deliveries fell through 2025 (39,300 in Q2 → 31,900 in Q3 → 32,900 in Q4 → 33,100 in Q1'26). Q2 guidance of 37–38k units is the first meaningful step-up, driven by build-rate increases "in pretty much every market." On the Q1 call, management said Q2 build slots were</w:t>
      </w:r>
      <w:r>
        <w:t xml:space="preserve"> </w:t>
      </w:r>
      <w:r>
        <w:rPr>
          <w:b/>
          <w:bCs/>
        </w:rPr>
        <w:t xml:space="preserve">full</w:t>
      </w:r>
      <w:r>
        <w:t xml:space="preserve">, and Q3/Q4 were "a majority full."</w:t>
      </w:r>
    </w:p>
    <w:p>
      <w:pPr>
        <w:pStyle w:val="BodyText"/>
      </w:pPr>
      <w:r>
        <w:rPr>
          <w:b/>
          <w:bCs/>
        </w:rPr>
        <w:t xml:space="preserve">2. The truck-margin story is the key debate.</w:t>
      </w:r>
      <w:r>
        <w:t xml:space="preserve"> </w:t>
      </w:r>
      <w:r>
        <w:t xml:space="preserve">Q1 delivered a big positive surprise: truck segment pretax jumped to</w:t>
      </w:r>
      <w:r>
        <w:t xml:space="preserve"> </w:t>
      </w:r>
      <m:oMath>
        <m:r>
          <m:t>176</m:t>
        </m:r>
        <m:r>
          <m:t>M</m:t>
        </m:r>
        <m:r>
          <m:rPr>
            <m:sty m:val="p"/>
          </m:rPr>
          <m:t>(</m:t>
        </m:r>
        <m:r>
          <m:t> </m:t>
        </m:r>
      </m:oMath>
      <w:r>
        <w:t xml:space="preserve">5,300 pretax/unit, ~7% truck gross margin) from ~$2,900/unit in Q4, on favorable price/cost (+1% sequential), mix, and PACCAR building</w:t>
      </w:r>
      <w:r>
        <w:t xml:space="preserve"> </w:t>
      </w:r>
      <w:r>
        <w:rPr>
          <w:b/>
          <w:bCs/>
        </w:rPr>
        <w:t xml:space="preserve">31.8% of the North American market</w:t>
      </w:r>
      <w:r>
        <w:t xml:space="preserve"> </w:t>
      </w:r>
      <w:r>
        <w:t xml:space="preserve">in Q1. The bull case is operating leverage as volumes climb; the bear worry is that the Q2 margin guide (13.5%) is only ~40bps above Q1 despite a much bigger revenue quarter — and sits</w:t>
      </w:r>
      <w:r>
        <w:t xml:space="preserve"> </w:t>
      </w:r>
      <w:r>
        <w:rPr>
          <w:b/>
          <w:bCs/>
        </w:rPr>
        <w:t xml:space="preserve">below the 13.9% gross margin PACCAR earned in Q2 2025.</w:t>
      </w:r>
      <w:r>
        <w:t xml:space="preserve"> </w:t>
      </w:r>
      <w:r>
        <w:t xml:space="preserve">Watch commentary on the exit-rate margin and 2027 backlog pricing.</w:t>
      </w:r>
    </w:p>
    <w:p>
      <w:pPr>
        <w:pStyle w:val="BodyText"/>
      </w:pPr>
      <w:r>
        <w:rPr>
          <w:b/>
          <w:bCs/>
        </w:rPr>
        <w:t xml:space="preserve">3. Class 8 orders are surging — a genuine pre-buy is building.</w:t>
      </w:r>
      <w:r>
        <w:t xml:space="preserve"> </w:t>
      </w:r>
      <w:r>
        <w:t xml:space="preserve">Industry data corroborates management's optimism: ACT Research reported preliminary June Class 8 net orders at 31,400 units, representing a 231% jump from the same period last year, and fleets are running out of time to secure Class 8 build slots in 2026, ahead of EPA27 emissions rules. Orders are running well above prior-year levels, reflecting stronger fleet sentiment, improving freight fundamentals, aging equipment populations, and growing urgency around future emissions-related truck costs. PACCAR characterizes 2H demand as a</w:t>
      </w:r>
      <w:r>
        <w:t xml:space="preserve"> </w:t>
      </w:r>
      <w:r>
        <w:rPr>
          <w:b/>
          <w:bCs/>
        </w:rPr>
        <w:t xml:space="preserve">balanced mix of "buy" (replacement/fleet health) and "pre-buy"</w:t>
      </w:r>
      <w:r>
        <w:t xml:space="preserve"> </w:t>
      </w:r>
      <w:r>
        <w:t xml:space="preserve">ahead of the costlier EPA 2027 35-mg NOx engine — with orders spread evenly across Q3 and Q4 rather than back-end loaded.</w:t>
      </w:r>
    </w:p>
    <w:p>
      <w:pPr>
        <w:pStyle w:val="BodyText"/>
      </w:pPr>
      <w:r>
        <w:rPr>
          <w:b/>
          <w:bCs/>
        </w:rPr>
        <w:t xml:space="preserve">4. Parts is the soft spot to watch.</w:t>
      </w:r>
      <w:r>
        <w:t xml:space="preserve"> </w:t>
      </w:r>
      <w:r>
        <w:t xml:space="preserve">Once the reliable ballast, Parts pretax has slipped YoY for several quarters ($402M in Q1'26 vs. $426M a year earlier) as fleet consolidation and fuel-cost volatility kept customers on required-only maintenance. Management expects Parts to</w:t>
      </w:r>
      <w:r>
        <w:t xml:space="preserve"> </w:t>
      </w:r>
      <w:r>
        <w:rPr>
          <w:b/>
          <w:bCs/>
        </w:rPr>
        <w:t xml:space="preserve">re-accelerate through 2026</w:t>
      </w:r>
      <w:r>
        <w:t xml:space="preserve"> </w:t>
      </w:r>
      <w:r>
        <w:t xml:space="preserve">as more trucks return to the road and customers get healthier. A Q2 Parts miss vs. the ~+3% guide would dent the quality-of-earnings narrative.</w:t>
      </w:r>
    </w:p>
    <w:p>
      <w:pPr>
        <w:pStyle w:val="BodyText"/>
      </w:pPr>
      <w:r>
        <w:rPr>
          <w:b/>
          <w:bCs/>
        </w:rPr>
        <w:t xml:space="preserve">5. Financial Services is a quiet positive.</w:t>
      </w:r>
      <w:r>
        <w:t xml:space="preserve"> </w:t>
      </w:r>
      <w:r>
        <w:t xml:space="preserve">PFS has been steady-to-improving (Q1'26 pretax</w:t>
      </w:r>
      <w:r>
        <w:t xml:space="preserve"> </w:t>
      </w:r>
      <m:oMath>
        <m:r>
          <m:t>116</m:t>
        </m:r>
        <m:r>
          <m:t>M</m:t>
        </m:r>
        <m:r>
          <m:rPr>
            <m:sty m:val="p"/>
          </m:rPr>
          <m:t>)</m:t>
        </m:r>
        <m:r>
          <m:t>o</m:t>
        </m:r>
        <m:r>
          <m:t>n</m:t>
        </m:r>
        <m:r>
          <m:t>s</m:t>
        </m:r>
        <m:r>
          <m:t>o</m:t>
        </m:r>
        <m:r>
          <m:t>l</m:t>
        </m:r>
        <m:r>
          <m:t>i</m:t>
        </m:r>
        <m:r>
          <m:t>d</m:t>
        </m:r>
        <m:r>
          <m:t>a</m:t>
        </m:r>
        <m:r>
          <m:t>s</m:t>
        </m:r>
        <m:r>
          <m:t>s</m:t>
        </m:r>
        <m:r>
          <m:t>e</m:t>
        </m:r>
        <m:r>
          <m:t>t</m:t>
        </m:r>
        <m:r>
          <m:t>g</m:t>
        </m:r>
        <m:r>
          <m:t>r</m:t>
        </m:r>
        <m:r>
          <m:t>o</m:t>
        </m:r>
        <m:r>
          <m:t>w</m:t>
        </m:r>
        <m:r>
          <m:t>t</m:t>
        </m:r>
        <m:r>
          <m:t>h</m:t>
        </m:r>
        <m:r>
          <m:t>a</m:t>
        </m:r>
        <m:r>
          <m:t>n</m:t>
        </m:r>
        <m:r>
          <m:t>d</m:t>
        </m:r>
        <m:r>
          <m:t>a</m:t>
        </m:r>
        <m:r>
          <m:rPr>
            <m:sty m:val="p"/>
          </m:rPr>
          <m:t>*</m:t>
        </m:r>
        <m:r>
          <m:rPr>
            <m:sty m:val="p"/>
          </m:rPr>
          <m:t>*</m:t>
        </m:r>
        <m:r>
          <m:t>s</m:t>
        </m:r>
        <m:r>
          <m:t>t</m:t>
        </m:r>
        <m:r>
          <m:t>r</m:t>
        </m:r>
        <m:r>
          <m:t>e</m:t>
        </m:r>
        <m:r>
          <m:t>n</m:t>
        </m:r>
        <m:r>
          <m:t>g</m:t>
        </m:r>
        <m:r>
          <m:t>t</m:t>
        </m:r>
        <m:r>
          <m:t>h</m:t>
        </m:r>
        <m:r>
          <m:t>e</m:t>
        </m:r>
        <m:r>
          <m:t>n</m:t>
        </m:r>
        <m:r>
          <m:t>i</m:t>
        </m:r>
        <m:r>
          <m:t>n</m:t>
        </m:r>
        <m:r>
          <m:t>g</m:t>
        </m:r>
        <m:r>
          <m:t>u</m:t>
        </m:r>
        <m:r>
          <m:t>s</m:t>
        </m:r>
        <m:r>
          <m:t>e</m:t>
        </m:r>
        <m:r>
          <m:t>d</m:t>
        </m:r>
        <m:r>
          <m:rPr>
            <m:sty m:val="p"/>
          </m:rPr>
          <m:t>−</m:t>
        </m:r>
        <m:r>
          <m:t>t</m:t>
        </m:r>
        <m:r>
          <m:t>r</m:t>
        </m:r>
        <m:r>
          <m:t>u</m:t>
        </m:r>
        <m:r>
          <m:t>c</m:t>
        </m:r>
        <m:r>
          <m:t>k</m:t>
        </m:r>
        <m:r>
          <m:t>m</m:t>
        </m:r>
        <m:r>
          <m:t>a</m:t>
        </m:r>
        <m:r>
          <m:t>r</m:t>
        </m:r>
        <m:r>
          <m:t>k</m:t>
        </m:r>
        <m:r>
          <m:t>e</m:t>
        </m:r>
        <m:r>
          <m:t>t</m:t>
        </m:r>
        <m:r>
          <m:rPr>
            <m:sty m:val="p"/>
          </m:rPr>
          <m:t>*</m:t>
        </m:r>
        <m:r>
          <m:rPr>
            <m:sty m:val="p"/>
          </m:rPr>
          <m:t>*</m:t>
        </m:r>
        <m:r>
          <m:rPr>
            <m:sty m:val="p"/>
          </m:rPr>
          <m:t>—</m:t>
        </m:r>
        <m:r>
          <m:t>a</m:t>
        </m:r>
        <m:r>
          <m:t>l</m:t>
        </m:r>
        <m:r>
          <m:t>e</m:t>
        </m:r>
        <m:r>
          <m:t>a</m:t>
        </m:r>
        <m:r>
          <m:t>d</m:t>
        </m:r>
        <m:r>
          <m:t>i</m:t>
        </m:r>
        <m:r>
          <m:t>n</m:t>
        </m:r>
        <m:r>
          <m:t>g</m:t>
        </m:r>
        <m:r>
          <m:t>i</m:t>
        </m:r>
        <m:r>
          <m:t>n</m:t>
        </m:r>
        <m:r>
          <m:t>d</m:t>
        </m:r>
        <m:r>
          <m:t>i</m:t>
        </m:r>
        <m:r>
          <m:t>c</m:t>
        </m:r>
        <m:r>
          <m:t>a</m:t>
        </m:r>
        <m:r>
          <m:t>t</m:t>
        </m:r>
        <m:r>
          <m:t>o</m:t>
        </m:r>
        <m:r>
          <m:t>r</m:t>
        </m:r>
        <m:r>
          <m:t>t</m:t>
        </m:r>
        <m:r>
          <m:t>h</m:t>
        </m:r>
        <m:r>
          <m:t>a</m:t>
        </m:r>
        <m:r>
          <m:t>t</m:t>
        </m:r>
        <m:r>
          <m:t>m</m:t>
        </m:r>
        <m:r>
          <m:t>a</m:t>
        </m:r>
        <m:r>
          <m:t>n</m:t>
        </m:r>
        <m:r>
          <m:t>a</m:t>
        </m:r>
        <m:r>
          <m:t>g</m:t>
        </m:r>
        <m:r>
          <m:t>e</m:t>
        </m:r>
        <m:r>
          <m:t>m</m:t>
        </m:r>
        <m:r>
          <m:t>e</m:t>
        </m:r>
        <m:r>
          <m:t>n</m:t>
        </m:r>
        <m:r>
          <m:t>t</m:t>
        </m:r>
        <m:r>
          <m:t>r</m:t>
        </m:r>
        <m:r>
          <m:t>e</m:t>
        </m:r>
        <m:r>
          <m:t>p</m:t>
        </m:r>
        <m:r>
          <m:t>e</m:t>
        </m:r>
        <m:r>
          <m:t>a</m:t>
        </m:r>
        <m:r>
          <m:t>t</m:t>
        </m:r>
        <m:r>
          <m:t>e</m:t>
        </m:r>
        <m:r>
          <m:t>d</m:t>
        </m:r>
        <m:r>
          <m:t>l</m:t>
        </m:r>
        <m:r>
          <m:t>y</m:t>
        </m:r>
        <m:r>
          <m:t>c</m:t>
        </m:r>
        <m:r>
          <m:t>i</m:t>
        </m:r>
        <m:r>
          <m:t>t</m:t>
        </m:r>
        <m:r>
          <m:t>e</m:t>
        </m:r>
        <m:r>
          <m:t>s</m:t>
        </m:r>
        <m:r>
          <m:t>f</m:t>
        </m:r>
        <m:r>
          <m:t>o</m:t>
        </m:r>
        <m:r>
          <m:t>r</m:t>
        </m:r>
        <m:r>
          <m:t>t</m:t>
        </m:r>
        <m:r>
          <m:t>h</m:t>
        </m:r>
        <m:r>
          <m:t>e</m:t>
        </m:r>
        <m:r>
          <m:t>b</m:t>
        </m:r>
        <m:r>
          <m:t>r</m:t>
        </m:r>
        <m:r>
          <m:t>o</m:t>
        </m:r>
        <m:r>
          <m:t>a</m:t>
        </m:r>
        <m:r>
          <m:t>d</m:t>
        </m:r>
        <m:r>
          <m:t>e</m:t>
        </m:r>
        <m:r>
          <m:t>r</m:t>
        </m:r>
        <m:r>
          <m:t>r</m:t>
        </m:r>
        <m:r>
          <m:t>e</m:t>
        </m:r>
        <m:r>
          <m:t>c</m:t>
        </m:r>
        <m:r>
          <m:t>o</m:t>
        </m:r>
        <m:r>
          <m:t>v</m:t>
        </m:r>
        <m:r>
          <m:t>e</m:t>
        </m:r>
        <m:r>
          <m:t>r</m:t>
        </m:r>
        <m:r>
          <m:t>y</m:t>
        </m:r>
        <m:r>
          <m:rPr>
            <m:sty m:val="p"/>
          </m:rPr>
          <m:t>.</m:t>
        </m:r>
        <m:r>
          <m:t>W</m:t>
        </m:r>
        <m:r>
          <m:t>a</m:t>
        </m:r>
        <m:r>
          <m:t>t</m:t>
        </m:r>
        <m:r>
          <m:t>c</m:t>
        </m:r>
        <m:r>
          <m:t>h</m:t>
        </m:r>
        <m:r>
          <m:t>t</m:t>
        </m:r>
        <m:r>
          <m:t>h</m:t>
        </m:r>
        <m:r>
          <m:t>e</m:t>
        </m:r>
        <m:r>
          <m:t>p</m:t>
        </m:r>
        <m:r>
          <m:t>r</m:t>
        </m:r>
        <m:r>
          <m:t>o</m:t>
        </m:r>
        <m:r>
          <m:t>v</m:t>
        </m:r>
        <m:r>
          <m:t>i</m:t>
        </m:r>
        <m:r>
          <m:t>s</m:t>
        </m:r>
        <m:r>
          <m:t>i</m:t>
        </m:r>
        <m:r>
          <m:t>o</m:t>
        </m:r>
        <m:r>
          <m:t>n</m:t>
        </m:r>
        <m:r>
          <m:t>f</m:t>
        </m:r>
        <m:r>
          <m:t>o</m:t>
        </m:r>
        <m:r>
          <m:t>r</m:t>
        </m:r>
        <m:r>
          <m:t>c</m:t>
        </m:r>
        <m:r>
          <m:t>r</m:t>
        </m:r>
        <m:r>
          <m:t>e</m:t>
        </m:r>
        <m:r>
          <m:t>d</m:t>
        </m:r>
        <m:r>
          <m:t>i</m:t>
        </m:r>
        <m:r>
          <m:t>t</m:t>
        </m:r>
        <m:r>
          <m:t>l</m:t>
        </m:r>
        <m:r>
          <m:t>o</m:t>
        </m:r>
        <m:r>
          <m:t>s</m:t>
        </m:r>
        <m:r>
          <m:t>s</m:t>
        </m:r>
        <m:r>
          <m:t>e</m:t>
        </m:r>
        <m:r>
          <m:t>s</m:t>
        </m:r>
        <m:r>
          <m:rPr>
            <m:sty m:val="p"/>
          </m:rPr>
          <m:t>,</m:t>
        </m:r>
        <m:r>
          <m:t>w</m:t>
        </m:r>
        <m:r>
          <m:t>h</m:t>
        </m:r>
        <m:r>
          <m:t>i</m:t>
        </m:r>
        <m:r>
          <m:t>c</m:t>
        </m:r>
        <m:r>
          <m:t>h</m:t>
        </m:r>
        <m:r>
          <m:t>h</m:t>
        </m:r>
        <m:r>
          <m:t>a</m:t>
        </m:r>
        <m:r>
          <m:t>s</m:t>
        </m:r>
        <m:r>
          <m:t>b</m:t>
        </m:r>
        <m:r>
          <m:t>e</m:t>
        </m:r>
        <m:r>
          <m:t>e</m:t>
        </m:r>
        <m:r>
          <m:t>n</m:t>
        </m:r>
        <m:r>
          <m:t>c</m:t>
        </m:r>
        <m:r>
          <m:t>r</m:t>
        </m:r>
        <m:r>
          <m:t>e</m:t>
        </m:r>
        <m:r>
          <m:t>e</m:t>
        </m:r>
        <m:r>
          <m:t>p</m:t>
        </m:r>
        <m:r>
          <m:t>i</m:t>
        </m:r>
        <m:r>
          <m:t>n</m:t>
        </m:r>
        <m:r>
          <m:t>g</m:t>
        </m:r>
        <m:r>
          <m:t>u</m:t>
        </m:r>
        <m:r>
          <m:t>p</m:t>
        </m:r>
        <m:r>
          <m:rPr>
            <m:sty m:val="p"/>
          </m:rPr>
          <m:t>(</m:t>
        </m:r>
      </m:oMath>
      <w:r>
        <w:t xml:space="preserve">44M in Q1'26 vs. $18M a year prior).</w:t>
      </w:r>
    </w:p>
    <w:p>
      <w:r>
        <w:pict>
          <v:rect style="width:0;height:1.5pt" o:hralign="center" o:hrstd="t" o:hr="t"/>
        </w:pict>
      </w:r>
    </w:p>
    <w:bookmarkEnd w:id="12"/>
    <w:bookmarkStart w:id="13" w:name="key-items-and-questions-for-the-call"/>
    <w:p>
      <w:pPr>
        <w:pStyle w:val="Heading2"/>
      </w:pPr>
      <w:r>
        <w:t xml:space="preserve">Key items and questions for the call</w:t>
      </w:r>
    </w:p>
    <w:p>
      <w:pPr>
        <w:pStyle w:val="Compact"/>
        <w:numPr>
          <w:ilvl w:val="0"/>
          <w:numId w:val="1002"/>
        </w:numPr>
      </w:pPr>
      <w:r>
        <w:rPr>
          <w:b/>
          <w:bCs/>
        </w:rPr>
        <w:t xml:space="preserve">Margin cadence:</w:t>
      </w:r>
      <w:r>
        <w:t xml:space="preserve"> </w:t>
      </w:r>
      <w:r>
        <w:t xml:space="preserve">Do they reaffirm sequential 2H margin expansion, and what's the implied exit rate? Any change to the 13.5% Q2 framing?</w:t>
      </w:r>
    </w:p>
    <w:p>
      <w:pPr>
        <w:pStyle w:val="Compact"/>
        <w:numPr>
          <w:ilvl w:val="0"/>
          <w:numId w:val="1002"/>
        </w:numPr>
      </w:pPr>
      <w:r>
        <w:rPr>
          <w:b/>
          <w:bCs/>
        </w:rPr>
        <w:t xml:space="preserve">2027 pre-buy sizing:</w:t>
      </w:r>
      <w:r>
        <w:t xml:space="preserve"> </w:t>
      </w:r>
      <w:r>
        <w:t xml:space="preserve">How much of the order surge is pull-forward vs. underlying demand — and early thoughts on a potential 2027 air-pocket after the pre-buy.</w:t>
      </w:r>
    </w:p>
    <w:p>
      <w:pPr>
        <w:pStyle w:val="Compact"/>
        <w:numPr>
          <w:ilvl w:val="0"/>
          <w:numId w:val="1002"/>
        </w:numPr>
      </w:pPr>
      <w:r>
        <w:rPr>
          <w:b/>
          <w:bCs/>
        </w:rPr>
        <w:t xml:space="preserve">Tariffs (Section 232):</w:t>
      </w:r>
      <w:r>
        <w:t xml:space="preserve"> </w:t>
      </w:r>
      <w:r>
        <w:t xml:space="preserve">Timing/realization of the ~3.75% MSRP credit, and whether non-domestic competitors are finally pricing for tariffs (a potential PACCAR pricing tailwind, given &gt;90% U.S. local production).</w:t>
      </w:r>
    </w:p>
    <w:p>
      <w:pPr>
        <w:pStyle w:val="Compact"/>
        <w:numPr>
          <w:ilvl w:val="0"/>
          <w:numId w:val="1002"/>
        </w:numPr>
      </w:pPr>
      <w:r>
        <w:rPr>
          <w:b/>
          <w:bCs/>
        </w:rPr>
        <w:t xml:space="preserve">Market outlook revisions:</w:t>
      </w:r>
      <w:r>
        <w:t xml:space="preserve"> </w:t>
      </w:r>
      <w:r>
        <w:t xml:space="preserve">Will the wide U.S./Canada Class 8 range (230k–270k) be narrowed upward given the order strength? Also watch Europe (280k–320k) and South America (100k–110k).</w:t>
      </w:r>
    </w:p>
    <w:p>
      <w:pPr>
        <w:pStyle w:val="Compact"/>
        <w:numPr>
          <w:ilvl w:val="0"/>
          <w:numId w:val="1002"/>
        </w:numPr>
      </w:pPr>
      <w:r>
        <w:rPr>
          <w:b/>
          <w:bCs/>
        </w:rPr>
        <w:t xml:space="preserve">Supply chain:</w:t>
      </w:r>
      <w:r>
        <w:t xml:space="preserve"> </w:t>
      </w:r>
      <w:r>
        <w:t xml:space="preserve">Management flagged memory chips/aluminum and supplier hiring cadence as the gating factors for the 2H ramp — any emerging constraints?</w:t>
      </w:r>
    </w:p>
    <w:p>
      <w:pPr>
        <w:pStyle w:val="Compact"/>
        <w:numPr>
          <w:ilvl w:val="0"/>
          <w:numId w:val="1002"/>
        </w:numPr>
      </w:pPr>
      <w:r>
        <w:rPr>
          <w:b/>
          <w:bCs/>
        </w:rPr>
        <w:t xml:space="preserve">Capital return:</w:t>
      </w:r>
      <w:r>
        <w:t xml:space="preserve"> </w:t>
      </w:r>
      <w:r>
        <w:t xml:space="preserve">Regular dividend has held at $0.33/quarter; PACCAR typically pays a large variable year-end dividend, so no change expected here in Q2.</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The fundamental narrative is inflecting the right way — bottoming volumes, a filling order board, an EPA-27 pre-buy tailwind, resilient Parts/Finance profits, and a tariff-advantaged footprint. The risk is almost entirely</w:t>
      </w:r>
      <w:r>
        <w:t xml:space="preserve"> </w:t>
      </w:r>
      <w:r>
        <w:rPr>
          <w:b/>
          <w:bCs/>
        </w:rPr>
        <w:t xml:space="preserve">expectations-driven</w:t>
      </w:r>
      <w:r>
        <w:t xml:space="preserve">: the stock has rallied to new highs above sell-side targets, Q1 shares fell ~6% on a revenue miss despite an EPS beat, and the Q2 margin guide implies only a modest step-up. A clean beat plus an upbeat 2H/pre-buy commentary could still work given the improving cycle, but with sentiment now leaning optimistic, the bar for a positive reaction is higher than it was three months ago.</w:t>
      </w:r>
      <w:r>
        <w:t xml:space="preserve"> </w:t>
      </w:r>
      <w:r>
        <w:rPr>
          <w:b/>
          <w:bCs/>
        </w:rPr>
        <w:t xml:space="preserve">Focus on truck gross margin, the Parts re-acceleration, and how management frames the durability of the 2027 pre-buy.</w:t>
      </w:r>
    </w:p>
    <w:p>
      <w:pPr>
        <w:pStyle w:val="BodyText"/>
      </w:pPr>
      <w:r>
        <w:rPr>
          <w:i/>
          <w:iCs/>
        </w:rPr>
        <w:t xml:space="preserve">Note: Q2 2025 comparisons are clean, but recall Q1 2025 included a $264.5M after-tax European Commission litigation charge — a non-recurring item now behind the company.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2026-07-28T00:55:56Z</dcterms:created>
  <dcterms:modified xsi:type="dcterms:W3CDTF">2026-07-28T00:55:56Z</dcterms:modified>
</cp:coreProperties>
</file>

<file path=docProps/custom.xml><?xml version="1.0" encoding="utf-8"?>
<Properties xmlns="http://schemas.openxmlformats.org/officeDocument/2006/custom-properties" xmlns:vt="http://schemas.openxmlformats.org/officeDocument/2006/docPropsVTypes"/>
</file>