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a solid picture. Let me pull a couple more data points (peer read-throughs like Cummins/Daimler Truck Q2 2026 results) and then write the preview.This gives strong positive peer read-through. Now I have enough to write a comprehensive, well-cited earnings preview.Good, I have enough context now. Let me write the earnings preview.# PACCAR Inc. (PCAR) — Q2 2026 Earnings Preview</w:t>
      </w:r>
      <w:r>
        <w:t xml:space="preserve"> </w:t>
      </w:r>
      <w:r>
        <w:rPr>
          <w:b/>
          <w:bCs/>
        </w:rPr>
        <w:t xml:space="preserve">Report Date:</w:t>
      </w:r>
      <w:r>
        <w:t xml:space="preserve"> </w:t>
      </w:r>
      <w:r>
        <w:t xml:space="preserve">July 28, 2026 (before market open) |</w:t>
      </w:r>
      <w:r>
        <w:t xml:space="preserve"> </w:t>
      </w:r>
      <w:r>
        <w:rPr>
          <w:b/>
          <w:bCs/>
        </w:rPr>
        <w:t xml:space="preserve">Call:</w:t>
      </w:r>
      <w:r>
        <w:t xml:space="preserve"> </w:t>
      </w:r>
      <w:r>
        <w:t xml:space="preserve">8:00 a.m. PT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PCAR shares closed at **</w:t>
      </w:r>
      <m:oMath>
        <m:r>
          <m:t>133.47</m:t>
        </m:r>
        <m:r>
          <m:rPr>
            <m:sty m:val="p"/>
          </m:rPr>
          <m:t>*</m:t>
        </m:r>
        <m:r>
          <m:rPr>
            <m:sty m:val="p"/>
          </m:rPr>
          <m:t>*</m:t>
        </m:r>
        <m:r>
          <m:t>o</m:t>
        </m:r>
        <m:r>
          <m:t>n</m:t>
        </m:r>
        <m:r>
          <m:t>J</m:t>
        </m:r>
        <m:r>
          <m:t>u</m:t>
        </m:r>
        <m:r>
          <m:t>l</m:t>
        </m:r>
        <m:r>
          <m:t>y</m:t>
        </m:r>
        <m:r>
          <m:t>27</m:t>
        </m:r>
        <m:r>
          <m:rPr>
            <m:sty m:val="p"/>
          </m:rPr>
          <m:t>,</m:t>
        </m:r>
        <m:r>
          <m:t>n</m:t>
        </m:r>
        <m:r>
          <m:t>e</m:t>
        </m:r>
        <m:r>
          <m:t>a</m:t>
        </m:r>
        <m:r>
          <m:t>r</m:t>
        </m:r>
        <m:r>
          <m:t>52</m:t>
        </m:r>
        <m:r>
          <m:rPr>
            <m:sty m:val="p"/>
          </m:rPr>
          <m:t>−</m:t>
        </m:r>
        <m:r>
          <m:t>w</m:t>
        </m:r>
        <m:r>
          <m:t>e</m:t>
        </m:r>
        <m:r>
          <m:t>e</m:t>
        </m:r>
        <m:r>
          <m:t>k</m:t>
        </m:r>
        <m:r>
          <m:t>h</m:t>
        </m:r>
        <m:r>
          <m:t>i</m:t>
        </m:r>
        <m:r>
          <m:t>g</m:t>
        </m:r>
        <m:r>
          <m:t>h</m:t>
        </m:r>
        <m:r>
          <m:t>s</m:t>
        </m:r>
        <m:r>
          <m:t>a</m:t>
        </m:r>
        <m:r>
          <m:t>n</m:t>
        </m:r>
        <m:r>
          <m:t>d</m:t>
        </m:r>
        <m:r>
          <m:t>u</m:t>
        </m:r>
        <m:r>
          <m:t>p</m:t>
        </m:r>
        <m:r>
          <m:t>r</m:t>
        </m:r>
        <m:r>
          <m:t>o</m:t>
        </m:r>
        <m:r>
          <m:t>u</m:t>
        </m:r>
        <m:r>
          <m:t>g</m:t>
        </m:r>
        <m:r>
          <m:t>h</m:t>
        </m:r>
        <m:r>
          <m:t>l</m:t>
        </m:r>
        <m:r>
          <m:t>y</m:t>
        </m:r>
        <m:r>
          <m:t>22</m:t>
        </m:r>
      </m:oMath>
      <w:r>
        <w:t xml:space="preserve">109), reflecting a sharp re-rating over the past six weeks as truck-market data has turned decisively positive. Options markets and sell-side commentary suggest a fairly high bar heading into the print after a strong run.</w:t>
      </w:r>
    </w:p>
    <w:p>
      <w:pPr>
        <w:pStyle w:val="BodyText"/>
      </w:pPr>
      <w:r>
        <w:t xml:space="preserve">Consensus expects</w:t>
      </w:r>
      <w:r>
        <w:t xml:space="preserve"> </w:t>
      </w:r>
      <w:r>
        <w:rPr>
          <w:b/>
          <w:bCs/>
        </w:rPr>
        <w:t xml:space="preserve">Q2 2026 EPS of ~</w:t>
      </w:r>
      <m:oMath>
        <m:r>
          <m:t>1.32</m:t>
        </m:r>
        <m:r>
          <m:rPr>
            <m:sty m:val="p"/>
          </m:rPr>
          <m:t>–</m:t>
        </m:r>
      </m:oMath>
      <w:r>
        <w:rPr>
          <w:b/>
          <w:bCs/>
        </w:rPr>
        <w:t xml:space="preserve">1.34</w:t>
      </w:r>
      <w:r>
        <w:t xml:space="preserve"> </w:t>
      </w:r>
      <w:r>
        <w:t xml:space="preserve">(down modestly, roughly 2–4% y/y from</w:t>
      </w:r>
      <w:r>
        <w:t xml:space="preserve"> </w:t>
      </w:r>
      <m:oMath>
        <m:r>
          <m:t>1.37</m:t>
        </m:r>
        <m:r>
          <m:rPr>
            <m:sty m:val="p"/>
          </m:rPr>
          <m:t>)</m:t>
        </m:r>
        <m:r>
          <m:t>o</m:t>
        </m:r>
        <m:r>
          <m:t>n</m:t>
        </m:r>
        <m:r>
          <m:rPr>
            <m:sty m:val="p"/>
          </m:rPr>
          <m:t>*</m:t>
        </m:r>
        <m:r>
          <m:rPr>
            <m:sty m:val="p"/>
          </m:rPr>
          <m:t>*</m:t>
        </m:r>
        <m:r>
          <m:t>r</m:t>
        </m:r>
        <m:r>
          <m:t>e</m:t>
        </m:r>
        <m:r>
          <m:t>v</m:t>
        </m:r>
        <m:r>
          <m:t>e</m:t>
        </m:r>
        <m:r>
          <m:t>n</m:t>
        </m:r>
        <m:r>
          <m:t>u</m:t>
        </m:r>
        <m:r>
          <m:t>e</m:t>
        </m:r>
        <m:r>
          <m:t>o</m:t>
        </m:r>
        <m:r>
          <m:t>f</m:t>
        </m:r>
        <m:r>
          <m:t> </m:t>
        </m:r>
      </m:oMath>
      <w:r>
        <w:t xml:space="preserve">7.1 billion** (up ~2% y/y). For the full year, the Street models</w:t>
      </w:r>
      <w:r>
        <w:t xml:space="preserve"> </w:t>
      </w:r>
      <w:r>
        <w:rPr>
          <w:b/>
          <w:bCs/>
        </w:rPr>
        <w:t xml:space="preserve">EPS of roughly</w:t>
      </w:r>
      <w:r>
        <w:rPr>
          <w:b/>
          <w:bCs/>
        </w:rPr>
        <w:t xml:space="preserve"> </w:t>
      </w:r>
      <m:oMath>
        <m:r>
          <m:t>5.53</m:t>
        </m:r>
        <m:r>
          <m:rPr>
            <m:sty m:val="p"/>
          </m:rPr>
          <m:t>–</m:t>
        </m:r>
      </m:oMath>
      <w:r>
        <w:rPr>
          <w:b/>
          <w:bCs/>
        </w:rPr>
        <w:t xml:space="preserve">5.59</w:t>
      </w:r>
      <w:r>
        <w:t xml:space="preserve"> </w:t>
      </w:r>
      <w:r>
        <w:t xml:space="preserve">(up ~10–12% from 2025's $5.01), with 2027 EPS expected to inflect meaningfully higher (consensus in the</w:t>
      </w:r>
      <w:r>
        <w:t xml:space="preserve"> </w:t>
      </w:r>
      <m:oMath>
        <m:r>
          <m:t>6.5</m:t>
        </m:r>
        <m:r>
          <m:rPr>
            <m:sty m:val="p"/>
          </m:rPr>
          <m:t>–</m:t>
        </m:r>
      </m:oMath>
      <w:r>
        <w:t xml:space="preserve">6.9 range) as the industry works through a 2027 emissions-driven pre-buy cycle. PACCAR has beaten Wall Street's bottom-line estimate in each of the last four quarters, which raises the bar for another beat.</w:t>
      </w:r>
    </w:p>
    <w:p>
      <w:pPr>
        <w:pStyle w:val="BodyText"/>
      </w:pPr>
      <w:r>
        <w:t xml:space="preserve">Sell-side sentiment has been improving: Bernstein and JPMorgan have both raised price targets recently, citing PACCAR's favorable domestic manufacturing footprint under Section 232 truck tariffs and potential margin expansion as tariff costs abate, while the broader analyst community (~8 covering analysts) sits at a</w:t>
      </w:r>
      <w:r>
        <w:t xml:space="preserve"> </w:t>
      </w:r>
      <w:r>
        <w:rPr>
          <w:b/>
          <w:bCs/>
        </w:rPr>
        <w:t xml:space="preserve">Hold consensus</w:t>
      </w:r>
      <w:r>
        <w:t xml:space="preserve"> </w:t>
      </w:r>
      <w:r>
        <w:t xml:space="preserve">with a very wide target dispersion (~$92 to $150), reflecting genuine debate about how much of the freight-cycle recovery is already priced in.</w:t>
      </w:r>
    </w:p>
    <w:p>
      <w:r>
        <w:pict>
          <v:rect style="width:0;height:1.5pt" o:hralign="center" o:hrstd="t" o:hr="t"/>
        </w:pict>
      </w:r>
    </w:p>
    <w:bookmarkEnd w:id="9"/>
    <w:bookmarkStart w:id="10" w:name="X95d82819bb62ed685ad353e0bcd0ad3ce1811b4"/>
    <w:p>
      <w:pPr>
        <w:pStyle w:val="Heading2"/>
      </w:pPr>
      <w:r>
        <w:t xml:space="preserve">What Happened Last Quarter (Q1 2026) — Setting the Baseline</w:t>
      </w:r>
    </w:p>
    <w:p>
      <w:pPr>
        <w:pStyle w:val="FirstParagraph"/>
      </w:pPr>
      <w:r>
        <w:t xml:space="preserve">PACCAR delivered</w:t>
      </w:r>
      <w:r>
        <w:t xml:space="preserve"> </w:t>
      </w:r>
      <w:r>
        <w:rPr>
          <w:b/>
          <w:bCs/>
        </w:rPr>
        <w:t xml:space="preserve">$6.78 billion in revenue</w:t>
      </w:r>
      <w:r>
        <w:t xml:space="preserve"> </w:t>
      </w:r>
      <w:r>
        <w:t xml:space="preserve">and</w:t>
      </w:r>
      <w:r>
        <w:t xml:space="preserve"> </w:t>
      </w:r>
      <w:r>
        <w:rPr>
          <w:b/>
          <w:bCs/>
        </w:rPr>
        <w:t xml:space="preserve">net income of</w:t>
      </w:r>
      <w:r>
        <w:rPr>
          <w:b/>
          <w:bCs/>
        </w:rPr>
        <w:t xml:space="preserve"> </w:t>
      </w:r>
      <m:oMath>
        <m:r>
          <m:t>605.3</m:t>
        </m:r>
        <m:r>
          <m:t>m</m:t>
        </m:r>
        <m:r>
          <m:t>i</m:t>
        </m:r>
        <m:r>
          <m:t>l</m:t>
        </m:r>
        <m:r>
          <m:t>l</m:t>
        </m:r>
        <m:r>
          <m:t>i</m:t>
        </m:r>
        <m:r>
          <m:t>o</m:t>
        </m:r>
        <m:r>
          <m:t>n</m:t>
        </m:r>
        <m:r>
          <m:rPr>
            <m:sty m:val="p"/>
          </m:rPr>
          <m:t>(</m:t>
        </m:r>
      </m:oMath>
      <w:r>
        <w:rPr>
          <w:b/>
          <w:bCs/>
        </w:rPr>
        <w:t xml:space="preserve">1.15/diluted share)</w:t>
      </w:r>
      <w:r>
        <w:t xml:space="preserve"> </w:t>
      </w:r>
      <w:r>
        <w:t xml:space="preserve">in Q1 2026, up from</w:t>
      </w:r>
      <w:r>
        <w:t xml:space="preserve"> </w:t>
      </w:r>
      <m:oMath>
        <m:r>
          <m:t>505.1</m:t>
        </m:r>
        <m:r>
          <m:t>m</m:t>
        </m:r>
        <m:r>
          <m:t>i</m:t>
        </m:r>
        <m:r>
          <m:t>l</m:t>
        </m:r>
        <m:r>
          <m:t>l</m:t>
        </m:r>
        <m:r>
          <m:t>i</m:t>
        </m:r>
        <m:r>
          <m:t>o</m:t>
        </m:r>
        <m:r>
          <m:t>n</m:t>
        </m:r>
        <m:r>
          <m:rPr>
            <m:sty m:val="p"/>
          </m:rPr>
          <m:t>(</m:t>
        </m:r>
      </m:oMath>
      <w:r>
        <w:t xml:space="preserve">0.96/share, or $1.46 adjusted) a year earlier when results included a large EC litigation charge. Segment detail:</w:t>
      </w:r>
    </w:p>
    <w:p>
      <w:pPr>
        <w:pStyle w:val="Compact"/>
        <w:numPr>
          <w:ilvl w:val="0"/>
          <w:numId w:val="1001"/>
        </w:numPr>
      </w:pPr>
      <w:r>
        <w:rPr>
          <w:b/>
          <w:bCs/>
        </w:rPr>
        <w:t xml:space="preserve">Truck:</w:t>
      </w:r>
      <w:r>
        <w:t xml:space="preserve"> </w:t>
      </w:r>
      <w:r>
        <w:t xml:space="preserve">Revenue fell to $4.53 billion from $5.23 billion as deliveries dropped 17% y/y to 33,100 units; gross margin compressed to 7.0% from 9.7% on lower volume and tariff/labor cost pressure, even as PACCAR gained share (31.8% of Q1 NA build).</w:t>
      </w:r>
    </w:p>
    <w:p>
      <w:pPr>
        <w:pStyle w:val="Compact"/>
        <w:numPr>
          <w:ilvl w:val="0"/>
          <w:numId w:val="1001"/>
        </w:numPr>
      </w:pPr>
      <w:r>
        <w:rPr>
          <w:b/>
          <w:bCs/>
        </w:rPr>
        <w:t xml:space="preserve">Parts:</w:t>
      </w:r>
      <w:r>
        <w:t xml:space="preserve"> </w:t>
      </w:r>
      <w:r>
        <w:t xml:space="preserve">Revenue was $1.71 billion, pretax income $402.3 million; management flagged a "softer" U.S./Canada retail market from fleet consolidation and fuel-cost volatility depressing discretionary parts spend.</w:t>
      </w:r>
    </w:p>
    <w:p>
      <w:pPr>
        <w:pStyle w:val="Compact"/>
        <w:numPr>
          <w:ilvl w:val="0"/>
          <w:numId w:val="1001"/>
        </w:numPr>
      </w:pPr>
      <w:r>
        <w:rPr>
          <w:b/>
          <w:bCs/>
        </w:rPr>
        <w:t xml:space="preserve">Financial Services:</w:t>
      </w:r>
      <w:r>
        <w:t xml:space="preserve"> </w:t>
      </w:r>
      <w:r>
        <w:t xml:space="preserve">Pretax income of $115.5 million, portfolio of $22.3 billion; credit metrics showed some deterioration — 30+ day delinquencies at 2.4% worldwide (vs. 1.2% a year ago), with elevated provisions in Brazil and one large U.S. fleet customer.</w:t>
      </w:r>
    </w:p>
    <w:p>
      <w:pPr>
        <w:pStyle w:val="FirstParagraph"/>
      </w:pPr>
      <w:r>
        <w:t xml:space="preserve">Management's</w:t>
      </w:r>
      <w:r>
        <w:t xml:space="preserve"> </w:t>
      </w:r>
      <w:r>
        <w:rPr>
          <w:b/>
          <w:bCs/>
        </w:rPr>
        <w:t xml:space="preserve">guidance for Q2 2026</w:t>
      </w:r>
      <w:r>
        <w:t xml:space="preserve">, given on the April call, is the key benchmark investors will check against:</w:t>
      </w:r>
    </w:p>
    <w:p>
      <w:pPr>
        <w:pStyle w:val="Compact"/>
        <w:numPr>
          <w:ilvl w:val="0"/>
          <w:numId w:val="1002"/>
        </w:numPr>
      </w:pPr>
      <w:r>
        <w:t xml:space="preserve">Deliveries of</w:t>
      </w:r>
      <w:r>
        <w:t xml:space="preserve"> </w:t>
      </w:r>
      <w:r>
        <w:rPr>
          <w:b/>
          <w:bCs/>
        </w:rPr>
        <w:t xml:space="preserve">37,000–38,000 trucks</w:t>
      </w:r>
      <w:r>
        <w:t xml:space="preserve"> </w:t>
      </w:r>
      <w:r>
        <w:t xml:space="preserve">(vs. 33,100 in Q1)</w:t>
      </w:r>
    </w:p>
    <w:p>
      <w:pPr>
        <w:pStyle w:val="Compact"/>
        <w:numPr>
          <w:ilvl w:val="0"/>
          <w:numId w:val="1002"/>
        </w:numPr>
      </w:pPr>
      <w:r>
        <w:t xml:space="preserve">Truck, Parts &amp; Other</w:t>
      </w:r>
      <w:r>
        <w:t xml:space="preserve"> </w:t>
      </w:r>
      <w:r>
        <w:rPr>
          <w:b/>
          <w:bCs/>
        </w:rPr>
        <w:t xml:space="preserve">gross margin ~13.5%</w:t>
      </w:r>
      <w:r>
        <w:t xml:space="preserve">, up from 13.1% in Q1, driven by volume leverage partially offset by price/mix and raw material costs</w:t>
      </w:r>
    </w:p>
    <w:p>
      <w:pPr>
        <w:pStyle w:val="Compact"/>
        <w:numPr>
          <w:ilvl w:val="0"/>
          <w:numId w:val="1002"/>
        </w:numPr>
      </w:pPr>
      <w:r>
        <w:t xml:space="preserve">Parts revenue growth of</w:t>
      </w:r>
      <w:r>
        <w:t xml:space="preserve"> </w:t>
      </w:r>
      <w:r>
        <w:rPr>
          <w:b/>
          <w:bCs/>
        </w:rPr>
        <w:t xml:space="preserve">~3%</w:t>
      </w:r>
      <w:r>
        <w:t xml:space="preserve"> </w:t>
      </w:r>
      <w:r>
        <w:t xml:space="preserve">sequentially (full-year guide of 3–6%), expected to accelerate in H2 as fleets get healthier</w:t>
      </w:r>
    </w:p>
    <w:p>
      <w:pPr>
        <w:pStyle w:val="Compact"/>
        <w:numPr>
          <w:ilvl w:val="0"/>
          <w:numId w:val="1002"/>
        </w:numPr>
      </w:pPr>
      <w:r>
        <w:t xml:space="preserve">Full-year U.S./Canada Class 8 market of</w:t>
      </w:r>
      <w:r>
        <w:t xml:space="preserve"> </w:t>
      </w:r>
      <w:r>
        <w:rPr>
          <w:b/>
          <w:bCs/>
        </w:rPr>
        <w:t xml:space="preserve">230,000–270,000 units</w:t>
      </w:r>
      <w:r>
        <w:t xml:space="preserve">, Europe (&gt;16t) of</w:t>
      </w:r>
      <w:r>
        <w:t xml:space="preserve"> </w:t>
      </w:r>
      <w:r>
        <w:rPr>
          <w:b/>
          <w:bCs/>
        </w:rPr>
        <w:t xml:space="preserve">280,000–320,000 units</w:t>
      </w:r>
    </w:p>
    <w:p>
      <w:pPr>
        <w:pStyle w:val="Compact"/>
        <w:numPr>
          <w:ilvl w:val="0"/>
          <w:numId w:val="1002"/>
        </w:numPr>
      </w:pPr>
      <w:r>
        <w:t xml:space="preserve">Capex of</w:t>
      </w:r>
      <w:r>
        <w:t xml:space="preserve"> </w:t>
      </w:r>
      <w:r>
        <w:rPr>
          <w:b/>
          <w:bCs/>
        </w:rPr>
        <w:t xml:space="preserve">$725–775 million** and R&amp;D of **$</w:t>
      </w:r>
      <w:r>
        <w:rPr>
          <w:b/>
          <w:bCs/>
        </w:rPr>
        <w:t xml:space="preserve">450–500 million</w:t>
      </w:r>
      <w:r>
        <w:t xml:space="preserve"> </w:t>
      </w:r>
      <w:r>
        <w:t xml:space="preserve">for 2026</w:t>
      </w:r>
    </w:p>
    <w:p>
      <w:r>
        <w:pict>
          <v:rect style="width:0;height:1.5pt" o:hralign="center" o:hrstd="t" o:hr="t"/>
        </w:pict>
      </w:r>
    </w:p>
    <w:bookmarkEnd w:id="10"/>
    <w:bookmarkStart w:id="11" w:name="X70923571fa49a01650150402cbcd3181c9aa60b"/>
    <w:p>
      <w:pPr>
        <w:pStyle w:val="Heading2"/>
      </w:pPr>
      <w:r>
        <w:t xml:space="preserve">Industry Backdrop Has Turned Sharply Favorable</w:t>
      </w:r>
    </w:p>
    <w:p>
      <w:pPr>
        <w:pStyle w:val="FirstParagraph"/>
      </w:pPr>
      <w:r>
        <w:t xml:space="preserve">The freight cycle inflection management described in April has accelerated through Q2, which is the biggest reason for the stock's rally into the print:</w:t>
      </w:r>
    </w:p>
    <w:p>
      <w:pPr>
        <w:pStyle w:val="BodyText"/>
      </w:pPr>
      <w:r>
        <w:t xml:space="preserve">North American</w:t>
      </w:r>
      <w:r>
        <w:t xml:space="preserve"> </w:t>
      </w:r>
      <w:r>
        <w:rPr>
          <w:b/>
          <w:bCs/>
        </w:rPr>
        <w:t xml:space="preserve">Class 8 net orders jumped 241% year-over-year in June</w:t>
      </w:r>
      <w:r>
        <w:t xml:space="preserve"> </w:t>
      </w:r>
      <w:r>
        <w:t xml:space="preserve">to roughly 30,500–31,400 units (per FTR/ACT Research), as fleets rushed to secure remaining 2026 build slots amid improving freight conditions and uncertainty around the 2027 emissions rule. Year-to-date orders are running</w:t>
      </w:r>
      <w:r>
        <w:t xml:space="preserve"> </w:t>
      </w:r>
      <w:r>
        <w:rPr>
          <w:b/>
          <w:bCs/>
        </w:rPr>
        <w:t xml:space="preserve">up 125%</w:t>
      </w:r>
      <w:r>
        <w:t xml:space="preserve">, and the current order season (Sept 2025–June 2026) is pacing</w:t>
      </w:r>
      <w:r>
        <w:t xml:space="preserve"> </w:t>
      </w:r>
      <w:r>
        <w:rPr>
          <w:b/>
          <w:bCs/>
        </w:rPr>
        <w:t xml:space="preserve">36% ahead</w:t>
      </w:r>
      <w:r>
        <w:t xml:space="preserve"> </w:t>
      </w:r>
      <w:r>
        <w:t xml:space="preserve">of the prior season, with June's total the</w:t>
      </w:r>
      <w:r>
        <w:t xml:space="preserve"> </w:t>
      </w:r>
      <w:r>
        <w:rPr>
          <w:b/>
          <w:bCs/>
        </w:rPr>
        <w:t xml:space="preserve">second-highest on record</w:t>
      </w:r>
      <w:r>
        <w:t xml:space="preserve"> </w:t>
      </w:r>
      <w:r>
        <w:t xml:space="preserve">for the month and roughly 68% above the 10-year average.</w:t>
      </w:r>
    </w:p>
    <w:p>
      <w:pPr>
        <w:pStyle w:val="BodyText"/>
      </w:pPr>
      <w:r>
        <w:t xml:space="preserve">Peer read-throughs corroborate the strength:</w:t>
      </w:r>
      <w:r>
        <w:t xml:space="preserve"> </w:t>
      </w:r>
      <w:r>
        <w:rPr>
          <w:b/>
          <w:bCs/>
        </w:rPr>
        <w:t xml:space="preserve">Daimler Truck's Q2 vehicle sales rose 8%</w:t>
      </w:r>
      <w:r>
        <w:t xml:space="preserve">, with Trucks North America unit sales up 8% to 41,687 (accelerating from 29,432 in Q1) on recovering North American demand, and</w:t>
      </w:r>
      <w:r>
        <w:t xml:space="preserve"> </w:t>
      </w:r>
      <w:r>
        <w:rPr>
          <w:b/>
          <w:bCs/>
        </w:rPr>
        <w:t xml:space="preserve">Volvo Group raised its truck market outlook</w:t>
      </w:r>
      <w:r>
        <w:t xml:space="preserve"> </w:t>
      </w:r>
      <w:r>
        <w:t xml:space="preserve">alongside a Q2 sales increase, having flagged in June that "customer demand in North America remains strong and deliveries are rising." Cummins likewise noted North America truck markets "began to improve from a cyclical low" in its Q1 update.</w:t>
      </w:r>
    </w:p>
    <w:p>
      <w:pPr>
        <w:pStyle w:val="BodyText"/>
      </w:pPr>
      <w:r>
        <w:t xml:space="preserve">Key structural/regulatory swing factors PACCAR flagged on the Q1 call that remain live heading into Q2 earnings:</w:t>
      </w:r>
    </w:p>
    <w:p>
      <w:pPr>
        <w:pStyle w:val="Compact"/>
        <w:numPr>
          <w:ilvl w:val="0"/>
          <w:numId w:val="1003"/>
        </w:numPr>
      </w:pPr>
      <w:r>
        <w:rPr>
          <w:b/>
          <w:bCs/>
        </w:rPr>
        <w:t xml:space="preserve">2027 EPA 35-mg NOx standard</w:t>
      </w:r>
      <w:r>
        <w:t xml:space="preserve">: increasingly a driver of both genuine fleet replacement buying and a "pre-buy" pulling demand into 2H26/1H27; management said the mix is balanced across Q3/Q4 rather than skewed to year-end.</w:t>
      </w:r>
    </w:p>
    <w:p>
      <w:pPr>
        <w:pStyle w:val="Compact"/>
        <w:numPr>
          <w:ilvl w:val="0"/>
          <w:numId w:val="1003"/>
        </w:numPr>
      </w:pPr>
      <w:r>
        <w:rPr>
          <w:b/>
          <w:bCs/>
        </w:rPr>
        <w:t xml:space="preserve">Section 232 truck tariffs (effective Nov 2025)</w:t>
      </w:r>
      <w:r>
        <w:t xml:space="preserve">: PACCAR's &gt;90% U.S.-local production (Ohio, Texas, Washington) is a structural advantage versus import-exposed competitors, and the company is still awaiting formal processing of a</w:t>
      </w:r>
      <w:r>
        <w:t xml:space="preserve"> </w:t>
      </w:r>
      <w:r>
        <w:rPr>
          <w:b/>
          <w:bCs/>
        </w:rPr>
        <w:t xml:space="preserve">3.75% MSRP tariff credit</w:t>
      </w:r>
      <w:r>
        <w:t xml:space="preserve">.</w:t>
      </w:r>
    </w:p>
    <w:p>
      <w:pPr>
        <w:pStyle w:val="Compact"/>
        <w:numPr>
          <w:ilvl w:val="0"/>
          <w:numId w:val="1003"/>
        </w:numPr>
      </w:pPr>
      <w:r>
        <w:rPr>
          <w:b/>
          <w:bCs/>
        </w:rPr>
        <w:t xml:space="preserve">IEEPA tariff invalidation</w:t>
      </w:r>
      <w:r>
        <w:t xml:space="preserve">: The Supreme Court's February 20, 2026 ruling striking down IEEPA "reciprocal" tariffs could provide</w:t>
      </w:r>
      <w:r>
        <w:t xml:space="preserve"> </w:t>
      </w:r>
      <w:r>
        <w:rPr>
          <w:b/>
          <w:bCs/>
        </w:rPr>
        <w:t xml:space="preserve">refund recovery</w:t>
      </w:r>
      <w:r>
        <w:t xml:space="preserve"> </w:t>
      </w:r>
      <w:r>
        <w:t xml:space="preserve">on previously paid tariffs — a modest tailwind to watch for in Q2 commentary, though PACCAR noted this doesn't materially change its Truck 232 exposure.</w:t>
      </w:r>
    </w:p>
    <w:p>
      <w:pPr>
        <w:pStyle w:val="Compact"/>
        <w:numPr>
          <w:ilvl w:val="0"/>
          <w:numId w:val="1003"/>
        </w:numPr>
      </w:pPr>
      <w:r>
        <w:rPr>
          <w:b/>
          <w:bCs/>
        </w:rPr>
        <w:t xml:space="preserve">Inventory</w:t>
      </w:r>
      <w:r>
        <w:t xml:space="preserve">: PACCAR entered Q2 with dealer inventory around</w:t>
      </w:r>
      <w:r>
        <w:t xml:space="preserve"> </w:t>
      </w:r>
      <w:r>
        <w:rPr>
          <w:b/>
          <w:bCs/>
        </w:rPr>
        <w:t xml:space="preserve">2.8 months</w:t>
      </w:r>
      <w:r>
        <w:t xml:space="preserve"> </w:t>
      </w:r>
      <w:r>
        <w:t xml:space="preserve">(up from 2.2 in December but still below the industry's reported &gt;4 months), giving it room to keep building without channel stuffing risk.</w:t>
      </w:r>
    </w:p>
    <w:p>
      <w:r>
        <w:pict>
          <v:rect style="width:0;height:1.5pt" o:hralign="center" o:hrstd="t" o:hr="t"/>
        </w:pict>
      </w:r>
    </w:p>
    <w:bookmarkEnd w:id="11"/>
    <w:bookmarkStart w:id="12" w:name="what-to-watch-on-the-call"/>
    <w:p>
      <w:pPr>
        <w:pStyle w:val="Heading2"/>
      </w:pPr>
      <w:r>
        <w:t xml:space="preserve">What to Watch on the Call</w:t>
      </w:r>
    </w:p>
    <w:p>
      <w:pPr>
        <w:pStyle w:val="Compact"/>
        <w:numPr>
          <w:ilvl w:val="0"/>
          <w:numId w:val="1004"/>
        </w:numPr>
      </w:pPr>
      <w:r>
        <w:rPr>
          <w:b/>
          <w:bCs/>
        </w:rPr>
        <w:t xml:space="preserve">Did deliveries and margin hit guidance?</w:t>
      </w:r>
      <w:r>
        <w:t xml:space="preserve"> </w:t>
      </w:r>
      <w:r>
        <w:t xml:space="preserve">The 37,000–38,000 unit delivery target and 13.5% gross margin guide are the most concrete deliverables to check. Given the June order surge, investors will want to know whether PACCAR is raising build rates further for H2 and whether full-year Class 8 guidance (230k–270k) needs to move toward the top end.</w:t>
      </w:r>
    </w:p>
    <w:p>
      <w:pPr>
        <w:pStyle w:val="Compact"/>
        <w:numPr>
          <w:ilvl w:val="0"/>
          <w:numId w:val="1004"/>
        </w:numPr>
      </w:pPr>
      <w:r>
        <w:rPr>
          <w:b/>
          <w:bCs/>
        </w:rPr>
        <w:t xml:space="preserve">Price/cost trajectory.</w:t>
      </w:r>
      <w:r>
        <w:t xml:space="preserve"> </w:t>
      </w:r>
      <w:r>
        <w:t xml:space="preserve">Q1 saw a rare "clean quarter" of favorable price-cost in Truck; watch whether that favorability is expanding into Q2/Q3 as previously guided, and how raw material/tariff costs are trending.</w:t>
      </w:r>
    </w:p>
    <w:p>
      <w:pPr>
        <w:pStyle w:val="Compact"/>
        <w:numPr>
          <w:ilvl w:val="0"/>
          <w:numId w:val="1004"/>
        </w:numPr>
      </w:pPr>
      <w:r>
        <w:rPr>
          <w:b/>
          <w:bCs/>
        </w:rPr>
        <w:t xml:space="preserve">Parts re-acceleration.</w:t>
      </w:r>
      <w:r>
        <w:t xml:space="preserve"> </w:t>
      </w:r>
      <w:r>
        <w:t xml:space="preserve">Management guided a step-up from 3% (Q2) toward the high end of 3–6% for the full year as fleets get healthier — any signs of that inflection materializing will matter for the higher-margin mix.</w:t>
      </w:r>
    </w:p>
    <w:p>
      <w:pPr>
        <w:pStyle w:val="Compact"/>
        <w:numPr>
          <w:ilvl w:val="0"/>
          <w:numId w:val="1004"/>
        </w:numPr>
      </w:pPr>
      <w:r>
        <w:rPr>
          <w:b/>
          <w:bCs/>
        </w:rPr>
        <w:t xml:space="preserve">Order book / 2027 read-through.</w:t>
      </w:r>
      <w:r>
        <w:t xml:space="preserve"> </w:t>
      </w:r>
      <w:r>
        <w:t xml:space="preserve">With Class 8 orders up over 200% y/y and build slots reportedly filling for 2026, listen for commentary on 2027 capacity planning, pre-buy vs. genuine replacement demand, and whether PACCAR is adding shifts.</w:t>
      </w:r>
    </w:p>
    <w:p>
      <w:pPr>
        <w:pStyle w:val="Compact"/>
        <w:numPr>
          <w:ilvl w:val="0"/>
          <w:numId w:val="1004"/>
        </w:numPr>
      </w:pPr>
      <w:r>
        <w:rPr>
          <w:b/>
          <w:bCs/>
        </w:rPr>
        <w:t xml:space="preserve">Financial Services credit quality.</w:t>
      </w:r>
      <w:r>
        <w:t xml:space="preserve"> </w:t>
      </w:r>
      <w:r>
        <w:t xml:space="preserve">Delinquencies and provisions rose in Q1 (Brazil, one large U.S. fleet); confirm this isn't broadening as a signal on freight-market health.</w:t>
      </w:r>
    </w:p>
    <w:p>
      <w:pPr>
        <w:pStyle w:val="Compact"/>
        <w:numPr>
          <w:ilvl w:val="0"/>
          <w:numId w:val="1004"/>
        </w:numPr>
      </w:pPr>
      <w:r>
        <w:rPr>
          <w:b/>
          <w:bCs/>
        </w:rPr>
        <w:t xml:space="preserve">Tariff mechanics.</w:t>
      </w:r>
      <w:r>
        <w:t xml:space="preserve"> </w:t>
      </w:r>
      <w:r>
        <w:t xml:space="preserve">Update on the 3.75% MSRP credit application/receipt timeline and any IEEPA refund progress.</w:t>
      </w:r>
    </w:p>
    <w:p>
      <w:pPr>
        <w:pStyle w:val="Compact"/>
        <w:numPr>
          <w:ilvl w:val="0"/>
          <w:numId w:val="1004"/>
        </w:numPr>
      </w:pPr>
      <w:r>
        <w:rPr>
          <w:b/>
          <w:bCs/>
        </w:rPr>
        <w:t xml:space="preserve">Amplify Cell Technologies / EV capacity.</w:t>
      </w:r>
      <w:r>
        <w:t xml:space="preserve"> </w:t>
      </w:r>
      <w:r>
        <w:t xml:space="preserve">PACCAR disclosed in the 10-Q that EV demand expectations shifted, prompting a delay in the battery joint venture's manufacturing ramp — watch for further detail on capital allocation here.</w:t>
      </w:r>
    </w:p>
    <w:p>
      <w:pPr>
        <w:pStyle w:val="Compact"/>
        <w:numPr>
          <w:ilvl w:val="0"/>
          <w:numId w:val="1004"/>
        </w:numPr>
      </w:pPr>
      <w:r>
        <w:rPr>
          <w:b/>
          <w:bCs/>
        </w:rPr>
        <w:t xml:space="preserve">Capital returns.</w:t>
      </w:r>
      <w:r>
        <w:t xml:space="preserve"> </w:t>
      </w:r>
      <w:r>
        <w:t xml:space="preserve">Dividend policy and buyback pace (only $4.8 million repurchased in Q1) given a $19.8 billion equity base and strong free cash flow.</w:t>
      </w:r>
    </w:p>
    <w:p>
      <w:r>
        <w:pict>
          <v:rect style="width:0;height:1.5pt" o:hralign="center" o:hrstd="t" o:hr="t"/>
        </w:pict>
      </w:r>
    </w:p>
    <w:bookmarkEnd w:id="12"/>
    <w:bookmarkStart w:id="13" w:name="valuation-and-positioning"/>
    <w:p>
      <w:pPr>
        <w:pStyle w:val="Heading2"/>
      </w:pPr>
      <w:r>
        <w:t xml:space="preserve">Valuation and Positioning</w:t>
      </w:r>
    </w:p>
    <w:p>
      <w:pPr>
        <w:pStyle w:val="FirstParagraph"/>
      </w:pPr>
      <w:r>
        <w:t xml:space="preserve">At ~</w:t>
      </w:r>
      <m:oMath>
        <m:r>
          <m:t>133</m:t>
        </m:r>
        <m:r>
          <m:rPr>
            <m:sty m:val="p"/>
          </m:rPr>
          <m:t>,</m:t>
        </m:r>
        <m:r>
          <m:t>P</m:t>
        </m:r>
        <m:r>
          <m:t>C</m:t>
        </m:r>
        <m:r>
          <m:t>A</m:t>
        </m:r>
        <m:r>
          <m:t>R</m:t>
        </m:r>
        <m:r>
          <m:t>t</m:t>
        </m:r>
        <m:r>
          <m:t>r</m:t>
        </m:r>
        <m:r>
          <m:t>a</m:t>
        </m:r>
        <m:r>
          <m:t>d</m:t>
        </m:r>
        <m:r>
          <m:t>e</m:t>
        </m:r>
        <m:r>
          <m:t>s</m:t>
        </m:r>
        <m:r>
          <m:t>n</m:t>
        </m:r>
        <m:r>
          <m:t>e</m:t>
        </m:r>
        <m:r>
          <m:t>a</m:t>
        </m:r>
        <m:r>
          <m:t>r</m:t>
        </m:r>
        <m:r>
          <m:t>t</m:t>
        </m:r>
        <m:r>
          <m:t>h</m:t>
        </m:r>
        <m:r>
          <m:t>e</m:t>
        </m:r>
        <m:r>
          <m:t>h</m:t>
        </m:r>
        <m:r>
          <m:t>i</m:t>
        </m:r>
        <m:r>
          <m:t>g</m:t>
        </m:r>
        <m:r>
          <m:t>h</m:t>
        </m:r>
        <m:r>
          <m:t>e</m:t>
        </m:r>
        <m:r>
          <m:t>n</m:t>
        </m:r>
        <m:r>
          <m:t>d</m:t>
        </m:r>
        <m:r>
          <m:t>o</m:t>
        </m:r>
        <m:r>
          <m:t>f</m:t>
        </m:r>
        <m:r>
          <m:t>i</m:t>
        </m:r>
        <m:r>
          <m:t>t</m:t>
        </m:r>
        <m:r>
          <m:t>s</m:t>
        </m:r>
        <m:r>
          <m:t>52</m:t>
        </m:r>
        <m:r>
          <m:rPr>
            <m:sty m:val="p"/>
          </m:rPr>
          <m:t>−</m:t>
        </m:r>
        <m:r>
          <m:t>w</m:t>
        </m:r>
        <m:r>
          <m:t>e</m:t>
        </m:r>
        <m:r>
          <m:t>e</m:t>
        </m:r>
        <m:r>
          <m:t>k</m:t>
        </m:r>
        <m:r>
          <m:t>r</m:t>
        </m:r>
        <m:r>
          <m:t>a</m:t>
        </m:r>
        <m:r>
          <m:t>n</m:t>
        </m:r>
        <m:r>
          <m:t>g</m:t>
        </m:r>
        <m:r>
          <m:t>e</m:t>
        </m:r>
        <m:r>
          <m:t>a</m:t>
        </m:r>
        <m:r>
          <m:t>n</m:t>
        </m:r>
        <m:r>
          <m:t>d</m:t>
        </m:r>
        <m:r>
          <m:t>a</m:t>
        </m:r>
        <m:r>
          <m:t>t</m:t>
        </m:r>
        <m:r>
          <m:t>a</m:t>
        </m:r>
        <m:r>
          <m:t>p</m:t>
        </m:r>
        <m:r>
          <m:t>r</m:t>
        </m:r>
        <m:r>
          <m:t>e</m:t>
        </m:r>
        <m:r>
          <m:t>m</m:t>
        </m:r>
        <m:r>
          <m:t>i</m:t>
        </m:r>
        <m:r>
          <m:t>u</m:t>
        </m:r>
        <m:r>
          <m:t>m</m:t>
        </m:r>
        <m:r>
          <m:t>m</m:t>
        </m:r>
        <m:r>
          <m:t>u</m:t>
        </m:r>
        <m:r>
          <m:t>l</m:t>
        </m:r>
        <m:r>
          <m:t>t</m:t>
        </m:r>
        <m:r>
          <m:t>i</m:t>
        </m:r>
        <m:r>
          <m:t>p</m:t>
        </m:r>
        <m:r>
          <m:t>l</m:t>
        </m:r>
        <m:r>
          <m:t>e</m:t>
        </m:r>
        <m:r>
          <m:t>r</m:t>
        </m:r>
        <m:r>
          <m:t>e</m:t>
        </m:r>
        <m:r>
          <m:t>l</m:t>
        </m:r>
        <m:r>
          <m:t>a</m:t>
        </m:r>
        <m:r>
          <m:t>t</m:t>
        </m:r>
        <m:r>
          <m:t>i</m:t>
        </m:r>
        <m:r>
          <m:t>v</m:t>
        </m:r>
        <m:r>
          <m:t>e</m:t>
        </m:r>
        <m:r>
          <m:t>t</m:t>
        </m:r>
        <m:r>
          <m:t>o</m:t>
        </m:r>
        <m:r>
          <m:t>t</m:t>
        </m:r>
        <m:r>
          <m:t>r</m:t>
        </m:r>
        <m:r>
          <m:t>o</m:t>
        </m:r>
        <m:r>
          <m:t>u</m:t>
        </m:r>
        <m:r>
          <m:t>g</m:t>
        </m:r>
        <m:r>
          <m:t>h</m:t>
        </m:r>
        <m:r>
          <m:rPr>
            <m:sty m:val="p"/>
          </m:rPr>
          <m:t>−</m:t>
        </m:r>
        <m:r>
          <m:t>c</m:t>
        </m:r>
        <m:r>
          <m:t>y</m:t>
        </m:r>
        <m:r>
          <m:t>c</m:t>
        </m:r>
        <m:r>
          <m:t>l</m:t>
        </m:r>
        <m:r>
          <m:t>e</m:t>
        </m:r>
        <m:r>
          <m:t>e</m:t>
        </m:r>
        <m:r>
          <m:t>a</m:t>
        </m:r>
        <m:r>
          <m:t>r</m:t>
        </m:r>
        <m:r>
          <m:t>n</m:t>
        </m:r>
        <m:r>
          <m:t>i</m:t>
        </m:r>
        <m:r>
          <m:t>n</m:t>
        </m:r>
        <m:r>
          <m:t>g</m:t>
        </m:r>
        <m:r>
          <m:t>s</m:t>
        </m:r>
        <m:r>
          <m:rPr>
            <m:sty m:val="p"/>
          </m:rPr>
          <m:t>,</m:t>
        </m:r>
        <m:r>
          <m:t>r</m:t>
        </m:r>
        <m:r>
          <m:t>e</m:t>
        </m:r>
        <m:r>
          <m:t>f</m:t>
        </m:r>
        <m:r>
          <m:t>l</m:t>
        </m:r>
        <m:r>
          <m:t>e</m:t>
        </m:r>
        <m:r>
          <m:t>c</m:t>
        </m:r>
        <m:r>
          <m:t>t</m:t>
        </m:r>
        <m:r>
          <m:t>i</m:t>
        </m:r>
        <m:r>
          <m:t>n</m:t>
        </m:r>
        <m:r>
          <m:t>g</m:t>
        </m:r>
        <m:r>
          <m:t>t</m:t>
        </m:r>
        <m:r>
          <m:t>h</m:t>
        </m:r>
        <m:r>
          <m:t>e</m:t>
        </m:r>
        <m:r>
          <m:t>m</m:t>
        </m:r>
        <m:r>
          <m:t>a</m:t>
        </m:r>
        <m:r>
          <m:t>r</m:t>
        </m:r>
        <m:r>
          <m:t>k</m:t>
        </m:r>
        <m:r>
          <m:t>e</m:t>
        </m:r>
        <m:sSup>
          <m:e>
            <m:r>
              <m:t>t</m:t>
            </m:r>
          </m:e>
          <m:sup>
            <m:r>
              <m:rPr>
                <m:sty m:val="p"/>
              </m:rPr>
              <m:t>′</m:t>
            </m:r>
          </m:sup>
        </m:sSup>
        <m:r>
          <m:t>s</m:t>
        </m:r>
        <m:r>
          <m:t>v</m:t>
        </m:r>
        <m:r>
          <m:t>i</m:t>
        </m:r>
        <m:r>
          <m:t>e</m:t>
        </m:r>
        <m:r>
          <m:t>w</m:t>
        </m:r>
        <m:r>
          <m:t>t</m:t>
        </m:r>
        <m:r>
          <m:t>h</m:t>
        </m:r>
        <m:r>
          <m:t>a</m:t>
        </m:r>
        <m:r>
          <m:t>t</m:t>
        </m:r>
        <m:r>
          <m:t>2026</m:t>
        </m:r>
        <m:r>
          <m:t>i</m:t>
        </m:r>
        <m:r>
          <m:t>s</m:t>
        </m:r>
        <m:r>
          <m:t>a</m:t>
        </m:r>
        <m:r>
          <m:t>n</m:t>
        </m:r>
        <m:r>
          <m:t>i</m:t>
        </m:r>
        <m:r>
          <m:t>n</m:t>
        </m:r>
        <m:r>
          <m:t>f</m:t>
        </m:r>
        <m:r>
          <m:t>l</m:t>
        </m:r>
        <m:r>
          <m:t>e</m:t>
        </m:r>
        <m:r>
          <m:t>c</m:t>
        </m:r>
        <m:r>
          <m:t>t</m:t>
        </m:r>
        <m:r>
          <m:t>i</m:t>
        </m:r>
        <m:r>
          <m:t>o</m:t>
        </m:r>
        <m:r>
          <m:t>n</m:t>
        </m:r>
        <m:r>
          <m:t>y</m:t>
        </m:r>
        <m:r>
          <m:t>e</m:t>
        </m:r>
        <m:r>
          <m:t>a</m:t>
        </m:r>
        <m:r>
          <m:t>r</m:t>
        </m:r>
        <m:r>
          <m:t>a</m:t>
        </m:r>
        <m:r>
          <m:t>n</m:t>
        </m:r>
        <m:r>
          <m:t>d</m:t>
        </m:r>
        <m:r>
          <m:t>2027</m:t>
        </m:r>
        <m:r>
          <m:t>w</m:t>
        </m:r>
        <m:r>
          <m:t>i</m:t>
        </m:r>
        <m:r>
          <m:t>l</m:t>
        </m:r>
        <m:r>
          <m:t>l</m:t>
        </m:r>
        <m:r>
          <m:t>b</m:t>
        </m:r>
        <m:r>
          <m:t>e</m:t>
        </m:r>
        <m:r>
          <m:t>n</m:t>
        </m:r>
        <m:r>
          <m:t>e</m:t>
        </m:r>
        <m:r>
          <m:t>f</m:t>
        </m:r>
        <m:r>
          <m:t>i</m:t>
        </m:r>
        <m:r>
          <m:t>t</m:t>
        </m:r>
        <m:r>
          <m:t>f</m:t>
        </m:r>
        <m:r>
          <m:t>r</m:t>
        </m:r>
        <m:r>
          <m:t>o</m:t>
        </m:r>
        <m:r>
          <m:t>m</m:t>
        </m:r>
        <m:r>
          <m:t>p</m:t>
        </m:r>
        <m:r>
          <m:t>r</m:t>
        </m:r>
        <m:r>
          <m:t>e</m:t>
        </m:r>
        <m:r>
          <m:rPr>
            <m:sty m:val="p"/>
          </m:rPr>
          <m:t>−</m:t>
        </m:r>
        <m:r>
          <m:t>b</m:t>
        </m:r>
        <m:r>
          <m:t>u</m:t>
        </m:r>
        <m:r>
          <m:t>y</m:t>
        </m:r>
        <m:r>
          <m:rPr>
            <m:sty m:val="p"/>
          </m:rPr>
          <m:t>−</m:t>
        </m:r>
        <m:r>
          <m:t>d</m:t>
        </m:r>
        <m:r>
          <m:t>r</m:t>
        </m:r>
        <m:r>
          <m:t>i</m:t>
        </m:r>
        <m:r>
          <m:t>v</m:t>
        </m:r>
        <m:r>
          <m:t>e</m:t>
        </m:r>
        <m:r>
          <m:t>n</m:t>
        </m:r>
        <m:r>
          <m:t>v</m:t>
        </m:r>
        <m:r>
          <m:t>o</m:t>
        </m:r>
        <m:r>
          <m:t>l</m:t>
        </m:r>
        <m:r>
          <m:t>u</m:t>
        </m:r>
        <m:r>
          <m:t>m</m:t>
        </m:r>
        <m:r>
          <m:t>e</m:t>
        </m:r>
        <m:r>
          <m:t>s</m:t>
        </m:r>
        <m:r>
          <m:rPr>
            <m:sty m:val="p"/>
          </m:rPr>
          <m:t>.</m:t>
        </m:r>
        <m:r>
          <m:t>T</m:t>
        </m:r>
        <m:r>
          <m:t>h</m:t>
        </m:r>
        <m:r>
          <m:t>e</m:t>
        </m:r>
        <m:r>
          <m:t>w</m:t>
        </m:r>
        <m:r>
          <m:t>i</m:t>
        </m:r>
        <m:r>
          <m:t>d</m:t>
        </m:r>
        <m:r>
          <m:t>e</m:t>
        </m:r>
        <m:r>
          <m:t>a</m:t>
        </m:r>
        <m:r>
          <m:t>n</m:t>
        </m:r>
        <m:r>
          <m:t>a</m:t>
        </m:r>
        <m:r>
          <m:t>l</m:t>
        </m:r>
        <m:r>
          <m:t>y</m:t>
        </m:r>
        <m:r>
          <m:t>s</m:t>
        </m:r>
        <m:r>
          <m:t>t</m:t>
        </m:r>
        <m:r>
          <m:t>t</m:t>
        </m:r>
        <m:r>
          <m:t>a</m:t>
        </m:r>
        <m:r>
          <m:t>r</m:t>
        </m:r>
        <m:r>
          <m:t>g</m:t>
        </m:r>
        <m:r>
          <m:t>e</m:t>
        </m:r>
        <m:r>
          <m:t>t</m:t>
        </m:r>
        <m:r>
          <m:t>r</m:t>
        </m:r>
        <m:r>
          <m:t>a</m:t>
        </m:r>
        <m:r>
          <m:t>n</m:t>
        </m:r>
        <m:r>
          <m:t>g</m:t>
        </m:r>
        <m:r>
          <m:t>e</m:t>
        </m:r>
        <m:r>
          <m:rPr>
            <m:sty m:val="p"/>
          </m:rPr>
          <m:t>(</m:t>
        </m:r>
      </m:oMath>
      <w:r>
        <w:t xml:space="preserve">92–$150) captures the bull/bear tension: bulls point to PACCAR's tariff-advantaged U.S. manufacturing footprint, share gains (31.8% of Q1 NA build), a resilient Parts/Financial Services annuity, and a historically underappreciated freight-cycle upswing; bears worry that much of the good news (order surge, tariff relief, margin recovery) is now priced in, and that credit-quality softening in Financial Services could be an early tell on freight-market fragility.</w:t>
      </w:r>
    </w:p>
    <w:bookmarkEnd w:id="13"/>
    <w:bookmarkStart w:id="14" w:name="bottom-line"/>
    <w:p>
      <w:pPr>
        <w:pStyle w:val="Heading2"/>
      </w:pPr>
      <w:r>
        <w:t xml:space="preserve">Bottom Line</w:t>
      </w:r>
    </w:p>
    <w:p>
      <w:pPr>
        <w:pStyle w:val="FirstParagraph"/>
      </w:pPr>
      <w:r>
        <w:t xml:space="preserve">Going into tomorrow's print, the setup is one of</w:t>
      </w:r>
      <w:r>
        <w:t xml:space="preserve"> </w:t>
      </w:r>
      <w:r>
        <w:rPr>
          <w:b/>
          <w:bCs/>
        </w:rPr>
        <w:t xml:space="preserve">rising expectations against a genuinely improving fundamental backdrop</w:t>
      </w:r>
      <w:r>
        <w:t xml:space="preserve">. The Q1 guide (37k–38k Q2 deliveries, ~13.5% gross margin, 3% Parts growth) provides clear checkpoints, while the June order surge, strong Daimler/Volvo prints, and tariff-related tailwinds give reason to expect commentary skewing constructive on H2 and into 2027. The main swing factors for the stock reaction will be</w:t>
      </w:r>
      <w:r>
        <w:t xml:space="preserve"> </w:t>
      </w:r>
      <w:r>
        <w:rPr>
          <w:b/>
          <w:bCs/>
        </w:rPr>
        <w:t xml:space="preserve">whether margins expanded as guided, whether Parts growth is actually re-accelerating, and how management frames the durability of the current order surge (pre-buy vs. sustainable replacement demand)</w:t>
      </w:r>
      <w:r>
        <w:t xml:space="preserve"> </w:t>
      </w:r>
      <w:r>
        <w:t xml:space="preserve">— especially given how much good news is already reflected in the stock near its highs.</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2026-07-28T00:59:57Z</dcterms:created>
  <dcterms:modified xsi:type="dcterms:W3CDTF">2026-07-28T00:59:57Z</dcterms:modified>
</cp:coreProperties>
</file>

<file path=docProps/custom.xml><?xml version="1.0" encoding="utf-8"?>
<Properties xmlns="http://schemas.openxmlformats.org/officeDocument/2006/custom-properties" xmlns:vt="http://schemas.openxmlformats.org/officeDocument/2006/docPropsVTypes"/>
</file>