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paccar-pcar-q2-2026-earnings-preview"/>
    <w:p>
      <w:pPr>
        <w:pStyle w:val="Heading1"/>
      </w:pPr>
      <w:r>
        <w:t xml:space="preserve">PACCAR (PCAR) Q2 2026 Earnings Preview</w:t>
      </w:r>
    </w:p>
    <w:p>
      <w:pPr>
        <w:pStyle w:val="BlockText"/>
      </w:pPr>
      <w:r>
        <w:rPr>
          <w:b/>
          <w:bCs/>
        </w:rPr>
        <w:t xml:space="preserve">Timing clarification:</w:t>
      </w:r>
      <w:r>
        <w:t xml:space="preserve"> </w:t>
      </w:r>
      <w:r>
        <w:t xml:space="preserve">PACCAR is scheduled to report</w:t>
      </w:r>
      <w:r>
        <w:t xml:space="preserve"> </w:t>
      </w:r>
      <w:r>
        <w:rPr>
          <w:b/>
          <w:bCs/>
        </w:rPr>
        <w:t xml:space="preserve">today, Tuesday, July 28, 2026</w:t>
      </w:r>
      <w:r>
        <w:t xml:space="preserve">, before the market opens—not tomorrow. The earnings call begins at</w:t>
      </w:r>
      <w:r>
        <w:t xml:space="preserve"> </w:t>
      </w:r>
      <w:r>
        <w:rPr>
          <w:b/>
          <w:bCs/>
        </w:rPr>
        <w:t xml:space="preserve">9:00 a.m. Pacific / 12:00 p.m. Eastern</w:t>
      </w:r>
      <w:r>
        <w:t xml:space="preserve">. (</w:t>
      </w:r>
      <w:hyperlink r:id="rId9">
        <w:r>
          <w:rPr>
            <w:rStyle w:val="Hyperlink"/>
          </w:rPr>
          <w:t xml:space="preserve">investors.paccar.com</w:t>
        </w:r>
      </w:hyperlink>
      <w:r>
        <w:t xml:space="preserve">)</w:t>
      </w:r>
    </w:p>
    <w:bookmarkStart w:id="11" w:name="the-setup"/>
    <w:p>
      <w:pPr>
        <w:pStyle w:val="Heading2"/>
      </w:pPr>
      <w:r>
        <w:t xml:space="preserve">The setup</w:t>
      </w:r>
    </w:p>
    <w:p>
      <w:pPr>
        <w:pStyle w:val="FirstParagraph"/>
      </w:pPr>
      <w:r>
        <w:t xml:space="preserve">PACCAR enters the report at an important transition point. First-quarter truck production remained depressed, but management said demand, freight rates, used-truck conditions and order intake had begun to improve. It guided to a meaningful Q2 production increase and additional margin expansion through the remainder of 2026.</w:t>
      </w:r>
    </w:p>
    <w:p>
      <w:pPr>
        <w:pStyle w:val="BodyText"/>
      </w:pPr>
      <w:r>
        <w:t xml:space="preserve">The headline consensus is approximately: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Q1 2026</w:t>
            </w:r>
          </w:p>
        </w:tc>
        <w:tc>
          <w:tcPr/>
          <w:p>
            <w:pPr>
              <w:pStyle w:val="Compact"/>
              <w:jc w:val="right"/>
            </w:pPr>
            <w:r>
              <w:t xml:space="preserve">Q2 2025</w:t>
            </w:r>
          </w:p>
        </w:tc>
      </w:tr>
      <w:tr>
        <w:tc>
          <w:tcPr/>
          <w:p>
            <w:pPr>
              <w:pStyle w:val="Compact"/>
            </w:pPr>
            <w:r>
              <w:t xml:space="preserve">Adjusted EPS</w:t>
            </w:r>
          </w:p>
        </w:tc>
        <w:tc>
          <w:tcPr/>
          <w:p>
            <w:pPr>
              <w:pStyle w:val="Compact"/>
              <w:jc w:val="right"/>
            </w:pPr>
            <m:oMath>
              <m:r>
                <m:t>1.33</m:t>
              </m:r>
              <m:r>
                <m:rPr>
                  <m:sty m:val="p"/>
                </m:rPr>
                <m:t>–</m:t>
              </m:r>
            </m:oMath>
            <w:r>
              <w:rPr>
                <w:b/>
                <w:bCs/>
              </w:rPr>
              <w:t xml:space="preserve">1.36</w:t>
            </w:r>
          </w:p>
        </w:tc>
        <w:tc>
          <w:tcPr/>
          <w:p>
            <w:pPr>
              <w:pStyle w:val="Compact"/>
              <w:jc w:val="right"/>
            </w:pPr>
            <w:r>
              <w:t xml:space="preserve">$1.15</w:t>
            </w:r>
          </w:p>
        </w:tc>
        <w:tc>
          <w:tcPr/>
          <w:p>
            <w:pPr>
              <w:pStyle w:val="Compact"/>
              <w:jc w:val="right"/>
            </w:pPr>
            <w:r>
              <w:t xml:space="preserve">$1.37</w:t>
            </w:r>
          </w:p>
        </w:tc>
      </w:tr>
      <w:tr>
        <w:tc>
          <w:tcPr/>
          <w:p>
            <w:pPr>
              <w:pStyle w:val="Compact"/>
            </w:pPr>
            <w:r>
              <w:t xml:space="preserve">Revenue*</w:t>
            </w:r>
          </w:p>
        </w:tc>
        <w:tc>
          <w:tcPr/>
          <w:p>
            <w:pPr>
              <w:pStyle w:val="Compact"/>
              <w:jc w:val="right"/>
            </w:pPr>
            <w:r>
              <w:rPr>
                <w:b/>
                <w:bCs/>
              </w:rPr>
              <w:t xml:space="preserve">Approximately</w:t>
            </w:r>
            <w:r>
              <w:rPr>
                <w:b/>
                <w:bCs/>
              </w:rPr>
              <w:t xml:space="preserve"> </w:t>
            </w:r>
            <m:oMath>
              <m:r>
                <m:t>7.0</m:t>
              </m:r>
              <m:r>
                <m:rPr>
                  <m:sty m:val="p"/>
                </m:rPr>
                <m:t>–</m:t>
              </m:r>
            </m:oMath>
            <w:r>
              <w:rPr>
                <w:b/>
                <w:bCs/>
              </w:rPr>
              <w:t xml:space="preserve">7.1B</w:t>
            </w:r>
          </w:p>
        </w:tc>
        <w:tc>
          <w:tcPr/>
          <w:p>
            <w:pPr>
              <w:pStyle w:val="Compact"/>
              <w:jc w:val="right"/>
            </w:pPr>
            <w:r>
              <w:t xml:space="preserve">$6.78B consolidated</w:t>
            </w:r>
          </w:p>
        </w:tc>
        <w:tc>
          <w:tcPr/>
          <w:p>
            <w:pPr>
              <w:pStyle w:val="Compact"/>
              <w:jc w:val="right"/>
            </w:pPr>
            <w:r>
              <w:t xml:space="preserve">$7.51B consolidated</w:t>
            </w:r>
          </w:p>
        </w:tc>
      </w:tr>
      <w:tr>
        <w:tc>
          <w:tcPr/>
          <w:p>
            <w:pPr>
              <w:pStyle w:val="Compact"/>
            </w:pPr>
            <w:r>
              <w:t xml:space="preserve">Truck deliveries</w:t>
            </w:r>
          </w:p>
        </w:tc>
        <w:tc>
          <w:tcPr/>
          <w:p>
            <w:pPr>
              <w:pStyle w:val="Compact"/>
              <w:jc w:val="right"/>
            </w:pPr>
            <w:r>
              <w:rPr>
                <w:b/>
                <w:bCs/>
              </w:rPr>
              <w:t xml:space="preserve">Company guide: 37,000–38,000</w:t>
            </w:r>
          </w:p>
        </w:tc>
        <w:tc>
          <w:tcPr/>
          <w:p>
            <w:pPr>
              <w:pStyle w:val="Compact"/>
              <w:jc w:val="right"/>
            </w:pPr>
            <w:r>
              <w:t xml:space="preserve">33,100</w:t>
            </w:r>
          </w:p>
        </w:tc>
        <w:tc>
          <w:tcPr/>
          <w:p>
            <w:pPr>
              <w:pStyle w:val="Compact"/>
              <w:jc w:val="right"/>
            </w:pPr>
            <w:r>
              <w:t xml:space="preserve">39,300</w:t>
            </w:r>
          </w:p>
        </w:tc>
      </w:tr>
      <w:tr>
        <w:tc>
          <w:tcPr/>
          <w:p>
            <w:pPr>
              <w:pStyle w:val="Compact"/>
            </w:pPr>
            <w:r>
              <w:t xml:space="preserve">Truck, Parts &amp; Other gross margin</w:t>
            </w:r>
          </w:p>
        </w:tc>
        <w:tc>
          <w:tcPr/>
          <w:p>
            <w:pPr>
              <w:pStyle w:val="Compact"/>
              <w:jc w:val="right"/>
            </w:pPr>
            <w:r>
              <w:rPr>
                <w:b/>
                <w:bCs/>
              </w:rPr>
              <w:t xml:space="preserve">Company guide: ~13.5%</w:t>
            </w:r>
          </w:p>
        </w:tc>
        <w:tc>
          <w:tcPr/>
          <w:p>
            <w:pPr>
              <w:pStyle w:val="Compact"/>
              <w:jc w:val="right"/>
            </w:pPr>
            <w:r>
              <w:t xml:space="preserve">13.1%</w:t>
            </w:r>
          </w:p>
        </w:tc>
        <w:tc>
          <w:tcPr/>
          <w:p>
            <w:pPr>
              <w:pStyle w:val="Compact"/>
              <w:jc w:val="right"/>
            </w:pPr>
            <w:r>
              <w:t xml:space="preserve">13.9%</w:t>
            </w:r>
          </w:p>
        </w:tc>
      </w:tr>
    </w:tbl>
    <w:p>
      <w:pPr>
        <w:pStyle w:val="BodyText"/>
      </w:pPr>
      <w:r>
        <w:t xml:space="preserve">*Data vendors do not always use the same revenue definition—some appear to exclude Financial Services—so reported revenue should be compared carefully with the corresponding consensus basis. Published EPS estimates range from $1.33 to $1.36, while revenue estimates cluster around</w:t>
      </w:r>
      <w:r>
        <w:t xml:space="preserve"> </w:t>
      </w:r>
      <m:oMath>
        <m:r>
          <m:t>7.03</m:t>
        </m:r>
        <m:r>
          <m:rPr>
            <m:sty m:val="p"/>
          </m:rPr>
          <m:t>–</m:t>
        </m:r>
      </m:oMath>
      <w:r>
        <w:t xml:space="preserve">7.08 billion. (</w:t>
      </w:r>
      <w:hyperlink r:id="rId10">
        <w:r>
          <w:rPr>
            <w:rStyle w:val="Hyperlink"/>
          </w:rPr>
          <w:t xml:space="preserve">marketbeat.com</w:t>
        </w:r>
      </w:hyperlink>
      <w:r>
        <w:t xml:space="preserve">)</w:t>
      </w:r>
    </w:p>
    <w:p>
      <w:pPr>
        <w:pStyle w:val="BodyText"/>
      </w:pPr>
      <w:r>
        <w:t xml:space="preserve">The midpoint of PACCAR’s delivery guidance implies roughly</w:t>
      </w:r>
      <w:r>
        <w:t xml:space="preserve"> </w:t>
      </w:r>
      <w:r>
        <w:rPr>
          <w:b/>
          <w:bCs/>
        </w:rPr>
        <w:t xml:space="preserve">13% sequential growth</w:t>
      </w:r>
      <w:r>
        <w:t xml:space="preserve">, but still about a</w:t>
      </w:r>
      <w:r>
        <w:t xml:space="preserve"> </w:t>
      </w:r>
      <w:r>
        <w:rPr>
          <w:b/>
          <w:bCs/>
        </w:rPr>
        <w:t xml:space="preserve">5% year-over-year decline</w:t>
      </w:r>
      <w:r>
        <w:t xml:space="preserve">. That makes margin conversion and the second-half outlook more important than the absolute revenue number.</w:t>
      </w:r>
    </w:p>
    <w:p>
      <w:r>
        <w:pict>
          <v:rect style="width:0;height:1.5pt" o:hralign="center" o:hrstd="t" o:hr="t"/>
        </w:pict>
      </w:r>
    </w:p>
    <w:bookmarkEnd w:id="11"/>
    <w:bookmarkStart w:id="13" w:name="X4f069eb4350c61ba09902a23c4b3c643afd57f7"/>
    <w:p>
      <w:pPr>
        <w:pStyle w:val="Heading2"/>
      </w:pPr>
      <w:r>
        <w:t xml:space="preserve">1. The central question: Is the North American truck recovery translating into profit?</w:t>
      </w:r>
    </w:p>
    <w:p>
      <w:pPr>
        <w:pStyle w:val="FirstParagraph"/>
      </w:pPr>
      <w:r>
        <w:t xml:space="preserve">Management’s Q1 message was that the market had reached a positive inflection:</w:t>
      </w:r>
    </w:p>
    <w:p>
      <w:pPr>
        <w:pStyle w:val="Compact"/>
        <w:numPr>
          <w:ilvl w:val="0"/>
          <w:numId w:val="1001"/>
        </w:numPr>
      </w:pPr>
      <w:r>
        <w:t xml:space="preserve">U.S. and Canadian freight rates were improving.</w:t>
      </w:r>
    </w:p>
    <w:p>
      <w:pPr>
        <w:pStyle w:val="Compact"/>
        <w:numPr>
          <w:ilvl w:val="0"/>
          <w:numId w:val="1001"/>
        </w:numPr>
      </w:pPr>
      <w:r>
        <w:t xml:space="preserve">Industry capacity had tightened.</w:t>
      </w:r>
    </w:p>
    <w:p>
      <w:pPr>
        <w:pStyle w:val="Compact"/>
        <w:numPr>
          <w:ilvl w:val="0"/>
          <w:numId w:val="1001"/>
        </w:numPr>
      </w:pPr>
      <w:r>
        <w:t xml:space="preserve">Customers were becoming more comfortable ordering ahead of the 2027 emissions change.</w:t>
      </w:r>
    </w:p>
    <w:p>
      <w:pPr>
        <w:pStyle w:val="Compact"/>
        <w:numPr>
          <w:ilvl w:val="0"/>
          <w:numId w:val="1001"/>
        </w:numPr>
      </w:pPr>
      <w:r>
        <w:t xml:space="preserve">Q2 production slots were full, with most of Q3 and Q4 also spoken for.</w:t>
      </w:r>
    </w:p>
    <w:p>
      <w:pPr>
        <w:pStyle w:val="Compact"/>
        <w:numPr>
          <w:ilvl w:val="0"/>
          <w:numId w:val="1001"/>
        </w:numPr>
      </w:pPr>
      <w:r>
        <w:t xml:space="preserve">PACCAR’s share of North American industry production was approximately 32%.</w:t>
      </w:r>
    </w:p>
    <w:p>
      <w:pPr>
        <w:pStyle w:val="FirstParagraph"/>
      </w:pPr>
      <w:r>
        <w:t xml:space="preserve">The company consequently guided from</w:t>
      </w:r>
      <w:r>
        <w:t xml:space="preserve"> </w:t>
      </w:r>
      <w:r>
        <w:rPr>
          <w:b/>
          <w:bCs/>
        </w:rPr>
        <w:t xml:space="preserve">33,100 Q1 deliveries to 37,000–38,000 in Q2</w:t>
      </w:r>
      <w:r>
        <w:t xml:space="preserve"> </w:t>
      </w:r>
      <w:r>
        <w:t xml:space="preserve">and forecast Truck, Parts &amp; Other gross margin of approximately</w:t>
      </w:r>
      <w:r>
        <w:t xml:space="preserve"> </w:t>
      </w:r>
      <w:r>
        <w:rPr>
          <w:b/>
          <w:bCs/>
        </w:rPr>
        <w:t xml:space="preserve">13.5%, up from 13.1%</w:t>
      </w:r>
      <w:r>
        <w:t xml:space="preserve">. PACCAR’s Q1 revenue was $6.78 billion and EPS was $1.15. (</w:t>
      </w:r>
      <w:hyperlink r:id="rId12">
        <w:r>
          <w:rPr>
            <w:rStyle w:val="Hyperlink"/>
          </w:rPr>
          <w:t xml:space="preserve">investors.paccar.com</w:t>
        </w:r>
      </w:hyperlink>
      <w:r>
        <w:t xml:space="preserve">)</w:t>
      </w:r>
    </w:p>
    <w:p>
      <w:pPr>
        <w:pStyle w:val="BodyText"/>
      </w:pPr>
      <w:r>
        <w:t xml:space="preserve">Investors should focus on whether PACCAR:</w:t>
      </w:r>
    </w:p>
    <w:p>
      <w:pPr>
        <w:pStyle w:val="Compact"/>
        <w:numPr>
          <w:ilvl w:val="0"/>
          <w:numId w:val="1002"/>
        </w:numPr>
      </w:pPr>
      <w:r>
        <w:t xml:space="preserve">Reached the upper half of its delivery range.</w:t>
      </w:r>
    </w:p>
    <w:p>
      <w:pPr>
        <w:pStyle w:val="Compact"/>
        <w:numPr>
          <w:ilvl w:val="0"/>
          <w:numId w:val="1002"/>
        </w:numPr>
      </w:pPr>
      <w:r>
        <w:t xml:space="preserve">Converted the production increase into the promised margin expansion.</w:t>
      </w:r>
    </w:p>
    <w:p>
      <w:pPr>
        <w:pStyle w:val="Compact"/>
        <w:numPr>
          <w:ilvl w:val="0"/>
          <w:numId w:val="1002"/>
        </w:numPr>
      </w:pPr>
      <w:r>
        <w:t xml:space="preserve">Maintained positive price/cost despite higher steel, aluminum, energy and labor costs.</w:t>
      </w:r>
    </w:p>
    <w:p>
      <w:pPr>
        <w:pStyle w:val="Compact"/>
        <w:numPr>
          <w:ilvl w:val="0"/>
          <w:numId w:val="1002"/>
        </w:numPr>
      </w:pPr>
      <w:r>
        <w:t xml:space="preserve">Still expects sequential improvement during the second half.</w:t>
      </w:r>
    </w:p>
    <w:p>
      <w:pPr>
        <w:pStyle w:val="FirstParagraph"/>
      </w:pPr>
      <w:r>
        <w:t xml:space="preserve">The most constructive result would be deliveries near or above</w:t>
      </w:r>
      <w:r>
        <w:t xml:space="preserve"> </w:t>
      </w:r>
      <w:r>
        <w:rPr>
          <w:b/>
          <w:bCs/>
        </w:rPr>
        <w:t xml:space="preserve">38,000</w:t>
      </w:r>
      <w:r>
        <w:t xml:space="preserve">, gross margin above</w:t>
      </w:r>
      <w:r>
        <w:t xml:space="preserve"> </w:t>
      </w:r>
      <w:r>
        <w:rPr>
          <w:b/>
          <w:bCs/>
        </w:rPr>
        <w:t xml:space="preserve">13.5%</w:t>
      </w:r>
      <w:r>
        <w:t xml:space="preserve">, and guidance suggesting another meaningful production and margin step-up in Q3.</w:t>
      </w:r>
    </w:p>
    <w:p>
      <w:pPr>
        <w:pStyle w:val="BodyText"/>
      </w:pPr>
      <w:r>
        <w:t xml:space="preserve">A delivery beat without a margin beat would be less impressive. It could indicate that competitive truck pricing, unfavorable geographic mix or input inflation is absorbing the operating leverage.</w:t>
      </w:r>
    </w:p>
    <w:p>
      <w:r>
        <w:pict>
          <v:rect style="width:0;height:1.5pt" o:hralign="center" o:hrstd="t" o:hr="t"/>
        </w:pict>
      </w:r>
    </w:p>
    <w:bookmarkEnd w:id="13"/>
    <w:bookmarkStart w:id="14" w:name="X469594b539dae8aead00194d2390378f852b2a1"/>
    <w:p>
      <w:pPr>
        <w:pStyle w:val="Heading2"/>
      </w:pPr>
      <w:r>
        <w:t xml:space="preserve">2. Margin quality matters more than a small EPS beat</w:t>
      </w:r>
    </w:p>
    <w:p>
      <w:pPr>
        <w:pStyle w:val="FirstParagraph"/>
      </w:pPr>
      <w:r>
        <w:t xml:space="preserve">PACCAR’s Q1 truck economics improved sharply from the seasonally weak fourth quarter, but remained well below the prior year:</w:t>
      </w:r>
    </w:p>
    <w:p>
      <w:pPr>
        <w:pStyle w:val="Compact"/>
        <w:numPr>
          <w:ilvl w:val="0"/>
          <w:numId w:val="1003"/>
        </w:numPr>
      </w:pPr>
      <w:r>
        <w:t xml:space="preserve">Truck pretax margin was</w:t>
      </w:r>
      <w:r>
        <w:t xml:space="preserve"> </w:t>
      </w:r>
      <w:r>
        <w:rPr>
          <w:b/>
          <w:bCs/>
        </w:rPr>
        <w:t xml:space="preserve">3.9%</w:t>
      </w:r>
      <w:r>
        <w:t xml:space="preserve">, versus</w:t>
      </w:r>
      <w:r>
        <w:t xml:space="preserve"> </w:t>
      </w:r>
      <w:r>
        <w:rPr>
          <w:b/>
          <w:bCs/>
        </w:rPr>
        <w:t xml:space="preserve">7.0%</w:t>
      </w:r>
      <w:r>
        <w:t xml:space="preserve"> </w:t>
      </w:r>
      <w:r>
        <w:t xml:space="preserve">in Q1 2025.</w:t>
      </w:r>
    </w:p>
    <w:p>
      <w:pPr>
        <w:pStyle w:val="Compact"/>
        <w:numPr>
          <w:ilvl w:val="0"/>
          <w:numId w:val="1003"/>
        </w:numPr>
      </w:pPr>
      <w:r>
        <w:t xml:space="preserve">Truck gross margin was</w:t>
      </w:r>
      <w:r>
        <w:t xml:space="preserve"> </w:t>
      </w:r>
      <w:r>
        <w:rPr>
          <w:b/>
          <w:bCs/>
        </w:rPr>
        <w:t xml:space="preserve">7.0%</w:t>
      </w:r>
      <w:r>
        <w:t xml:space="preserve">, versus</w:t>
      </w:r>
      <w:r>
        <w:t xml:space="preserve"> </w:t>
      </w:r>
      <w:r>
        <w:rPr>
          <w:b/>
          <w:bCs/>
        </w:rPr>
        <w:t xml:space="preserve">9.7%</w:t>
      </w:r>
      <w:r>
        <w:t xml:space="preserve"> </w:t>
      </w:r>
      <w:r>
        <w:t xml:space="preserve">a year earlier.</w:t>
      </w:r>
    </w:p>
    <w:p>
      <w:pPr>
        <w:pStyle w:val="Compact"/>
        <w:numPr>
          <w:ilvl w:val="0"/>
          <w:numId w:val="1003"/>
        </w:numPr>
      </w:pPr>
      <w:r>
        <w:t xml:space="preserve">Lower volume, tariffs and higher material and labor costs offset higher selling prices.</w:t>
      </w:r>
    </w:p>
    <w:p>
      <w:pPr>
        <w:pStyle w:val="Compact"/>
        <w:numPr>
          <w:ilvl w:val="0"/>
          <w:numId w:val="1003"/>
        </w:numPr>
      </w:pPr>
      <w:r>
        <w:t xml:space="preserve">Sequentially, management said price/cost was favorable by more than one percentage point.</w:t>
      </w:r>
    </w:p>
    <w:p>
      <w:pPr>
        <w:pStyle w:val="FirstParagraph"/>
      </w:pPr>
      <w:r>
        <w:t xml:space="preserve">Q2 should benefit from higher factory utilization and a richer revenue base. However, management also identified several offsets:</w:t>
      </w:r>
    </w:p>
    <w:p>
      <w:pPr>
        <w:pStyle w:val="Compact"/>
        <w:numPr>
          <w:ilvl w:val="0"/>
          <w:numId w:val="1004"/>
        </w:numPr>
      </w:pPr>
      <w:r>
        <w:t xml:space="preserve">Competitive North American truck pricing.</w:t>
      </w:r>
    </w:p>
    <w:p>
      <w:pPr>
        <w:pStyle w:val="Compact"/>
        <w:numPr>
          <w:ilvl w:val="0"/>
          <w:numId w:val="1004"/>
        </w:numPr>
      </w:pPr>
      <w:r>
        <w:t xml:space="preserve">Higher raw-material and energy costs.</w:t>
      </w:r>
    </w:p>
    <w:p>
      <w:pPr>
        <w:pStyle w:val="Compact"/>
        <w:numPr>
          <w:ilvl w:val="0"/>
          <w:numId w:val="1004"/>
        </w:numPr>
      </w:pPr>
      <w:r>
        <w:t xml:space="preserve">Truck revenue growing much faster than high-margin Parts revenue, creating an unfavorable consolidated mix effect.</w:t>
      </w:r>
    </w:p>
    <w:p>
      <w:pPr>
        <w:pStyle w:val="Compact"/>
        <w:numPr>
          <w:ilvl w:val="0"/>
          <w:numId w:val="1004"/>
        </w:numPr>
      </w:pPr>
      <w:r>
        <w:t xml:space="preserve">Tariff costs and uncertainty over the timing of available credits or recoveries.</w:t>
      </w:r>
    </w:p>
    <w:p>
      <w:pPr>
        <w:pStyle w:val="FirstParagraph"/>
      </w:pPr>
      <w:r>
        <w:t xml:space="preserve">A good quarter therefore needs more than EPS around consensus. Investors should examine:</w:t>
      </w:r>
    </w:p>
    <w:p>
      <w:pPr>
        <w:pStyle w:val="Compact"/>
        <w:numPr>
          <w:ilvl w:val="0"/>
          <w:numId w:val="1005"/>
        </w:numPr>
      </w:pPr>
      <w:r>
        <w:rPr>
          <w:b/>
          <w:bCs/>
        </w:rPr>
        <w:t xml:space="preserve">Truck segment pretax margin</w:t>
      </w:r>
    </w:p>
    <w:p>
      <w:pPr>
        <w:pStyle w:val="Compact"/>
        <w:numPr>
          <w:ilvl w:val="0"/>
          <w:numId w:val="1005"/>
        </w:numPr>
      </w:pPr>
      <w:r>
        <w:rPr>
          <w:b/>
          <w:bCs/>
        </w:rPr>
        <w:t xml:space="preserve">Truck, Parts &amp; Other gross margin</w:t>
      </w:r>
    </w:p>
    <w:p>
      <w:pPr>
        <w:pStyle w:val="Compact"/>
        <w:numPr>
          <w:ilvl w:val="0"/>
          <w:numId w:val="1005"/>
        </w:numPr>
      </w:pPr>
      <w:r>
        <w:rPr>
          <w:b/>
          <w:bCs/>
        </w:rPr>
        <w:t xml:space="preserve">Price realization versus direct cost inflation</w:t>
      </w:r>
    </w:p>
    <w:p>
      <w:pPr>
        <w:pStyle w:val="Compact"/>
        <w:numPr>
          <w:ilvl w:val="0"/>
          <w:numId w:val="1005"/>
        </w:numPr>
      </w:pPr>
      <w:r>
        <w:rPr>
          <w:b/>
          <w:bCs/>
        </w:rPr>
        <w:t xml:space="preserve">Factory overhead absorption</w:t>
      </w:r>
    </w:p>
    <w:p>
      <w:pPr>
        <w:pStyle w:val="Compact"/>
        <w:numPr>
          <w:ilvl w:val="0"/>
          <w:numId w:val="1005"/>
        </w:numPr>
      </w:pPr>
      <w:r>
        <w:rPr>
          <w:b/>
          <w:bCs/>
        </w:rPr>
        <w:t xml:space="preserve">North American versus European delivery mix</w:t>
      </w:r>
    </w:p>
    <w:p>
      <w:pPr>
        <w:pStyle w:val="FirstParagraph"/>
      </w:pPr>
      <w:r>
        <w:t xml:space="preserve">If consolidated gross margin merely reaches 13.5%, management’s Q3 margin guidance will likely determine the stock reaction.</w:t>
      </w:r>
    </w:p>
    <w:p>
      <w:r>
        <w:pict>
          <v:rect style="width:0;height:1.5pt" o:hralign="center" o:hrstd="t" o:hr="t"/>
        </w:pict>
      </w:r>
    </w:p>
    <w:bookmarkEnd w:id="14"/>
    <w:bookmarkStart w:id="15" w:name="X75f6cdd974d9d4c3908ec6abc1a0757334587be"/>
    <w:p>
      <w:pPr>
        <w:pStyle w:val="Heading2"/>
      </w:pPr>
      <w:r>
        <w:t xml:space="preserve">3. PACCAR Parts needs to show genuine acceleration</w:t>
      </w:r>
    </w:p>
    <w:p>
      <w:pPr>
        <w:pStyle w:val="FirstParagraph"/>
      </w:pPr>
      <w:r>
        <w:t xml:space="preserve">PACCAR Parts remains the company’s highest-quality earnings stream, but Q1 results exposed softer underlying demand:</w:t>
      </w:r>
    </w:p>
    <w:p>
      <w:pPr>
        <w:pStyle w:val="Compact"/>
        <w:numPr>
          <w:ilvl w:val="0"/>
          <w:numId w:val="1006"/>
        </w:numPr>
      </w:pPr>
      <w:r>
        <w:t xml:space="preserve">Revenue:</w:t>
      </w:r>
      <w:r>
        <w:t xml:space="preserve"> </w:t>
      </w:r>
      <w:r>
        <w:rPr>
          <w:b/>
          <w:bCs/>
        </w:rPr>
        <w:t xml:space="preserve">$1.71 billion</w:t>
      </w:r>
      <w:r>
        <w:t xml:space="preserve">, up only about 1% year over year.</w:t>
      </w:r>
    </w:p>
    <w:p>
      <w:pPr>
        <w:pStyle w:val="Compact"/>
        <w:numPr>
          <w:ilvl w:val="0"/>
          <w:numId w:val="1006"/>
        </w:numPr>
      </w:pPr>
      <w:r>
        <w:t xml:space="preserve">Pretax profit:</w:t>
      </w:r>
      <w:r>
        <w:t xml:space="preserve"> </w:t>
      </w:r>
      <w:r>
        <w:rPr>
          <w:b/>
          <w:bCs/>
        </w:rPr>
        <w:t xml:space="preserve">$402 million</w:t>
      </w:r>
      <w:r>
        <w:t xml:space="preserve">, down 6%.</w:t>
      </w:r>
    </w:p>
    <w:p>
      <w:pPr>
        <w:pStyle w:val="Compact"/>
        <w:numPr>
          <w:ilvl w:val="0"/>
          <w:numId w:val="1006"/>
        </w:numPr>
      </w:pPr>
      <w:r>
        <w:t xml:space="preserve">Pretax margin:</w:t>
      </w:r>
      <w:r>
        <w:t xml:space="preserve"> </w:t>
      </w:r>
      <w:r>
        <w:rPr>
          <w:b/>
          <w:bCs/>
        </w:rPr>
        <w:t xml:space="preserve">23.5%</w:t>
      </w:r>
      <w:r>
        <w:t xml:space="preserve">, versus 25.2%.</w:t>
      </w:r>
    </w:p>
    <w:p>
      <w:pPr>
        <w:pStyle w:val="Compact"/>
        <w:numPr>
          <w:ilvl w:val="0"/>
          <w:numId w:val="1006"/>
        </w:numPr>
      </w:pPr>
      <w:r>
        <w:t xml:space="preserve">Gross margin:</w:t>
      </w:r>
      <w:r>
        <w:t xml:space="preserve"> </w:t>
      </w:r>
      <w:r>
        <w:rPr>
          <w:b/>
          <w:bCs/>
        </w:rPr>
        <w:t xml:space="preserve">29.6%</w:t>
      </w:r>
      <w:r>
        <w:t xml:space="preserve">, versus 30.7%.</w:t>
      </w:r>
    </w:p>
    <w:p>
      <w:pPr>
        <w:pStyle w:val="Compact"/>
        <w:numPr>
          <w:ilvl w:val="0"/>
          <w:numId w:val="1006"/>
        </w:numPr>
      </w:pPr>
      <w:r>
        <w:t xml:space="preserve">North American parts revenue declined as fleets deferred discretionary maintenance amid fuel and operating-cost volatility.</w:t>
      </w:r>
    </w:p>
    <w:p>
      <w:pPr>
        <w:pStyle w:val="FirstParagraph"/>
      </w:pPr>
      <w:r>
        <w:t xml:space="preserve">Management guided to approximately</w:t>
      </w:r>
      <w:r>
        <w:t xml:space="preserve"> </w:t>
      </w:r>
      <w:r>
        <w:rPr>
          <w:b/>
          <w:bCs/>
        </w:rPr>
        <w:t xml:space="preserve">3% Q2 sales growth</w:t>
      </w:r>
      <w:r>
        <w:t xml:space="preserve"> </w:t>
      </w:r>
      <w:r>
        <w:t xml:space="preserve">and</w:t>
      </w:r>
      <w:r>
        <w:t xml:space="preserve"> </w:t>
      </w:r>
      <w:r>
        <w:rPr>
          <w:b/>
          <w:bCs/>
        </w:rPr>
        <w:t xml:space="preserve">3%–6% growth for 2026</w:t>
      </w:r>
      <w:r>
        <w:t xml:space="preserve">, with acceleration expected as freight conditions and customer profitability improve.</w:t>
      </w:r>
    </w:p>
    <w:p>
      <w:pPr>
        <w:pStyle w:val="BodyText"/>
      </w:pPr>
      <w:r>
        <w:t xml:space="preserve">The key questions are:</w:t>
      </w:r>
    </w:p>
    <w:p>
      <w:pPr>
        <w:pStyle w:val="Compact"/>
        <w:numPr>
          <w:ilvl w:val="0"/>
          <w:numId w:val="1007"/>
        </w:numPr>
      </w:pPr>
      <w:r>
        <w:t xml:space="preserve">Did Q2 parts sales grow by at least 3% sequentially?</w:t>
      </w:r>
    </w:p>
    <w:p>
      <w:pPr>
        <w:pStyle w:val="Compact"/>
        <w:numPr>
          <w:ilvl w:val="0"/>
          <w:numId w:val="1007"/>
        </w:numPr>
      </w:pPr>
      <w:r>
        <w:t xml:space="preserve">Are underlying volumes improving, or is reported growth still mostly price and currency?</w:t>
      </w:r>
    </w:p>
    <w:p>
      <w:pPr>
        <w:pStyle w:val="Compact"/>
        <w:numPr>
          <w:ilvl w:val="0"/>
          <w:numId w:val="1007"/>
        </w:numPr>
      </w:pPr>
      <w:r>
        <w:t xml:space="preserve">Has the mix shifted away from lower-margin direct-ship business?</w:t>
      </w:r>
    </w:p>
    <w:p>
      <w:pPr>
        <w:pStyle w:val="Compact"/>
        <w:numPr>
          <w:ilvl w:val="0"/>
          <w:numId w:val="1007"/>
        </w:numPr>
      </w:pPr>
      <w:r>
        <w:t xml:space="preserve">Is the 3%–6% full-year target intact?</w:t>
      </w:r>
    </w:p>
    <w:p>
      <w:pPr>
        <w:pStyle w:val="Compact"/>
        <w:numPr>
          <w:ilvl w:val="0"/>
          <w:numId w:val="1007"/>
        </w:numPr>
      </w:pPr>
      <w:r>
        <w:t xml:space="preserve">Does management still expect second-half acceleration?</w:t>
      </w:r>
    </w:p>
    <w:p>
      <w:pPr>
        <w:pStyle w:val="FirstParagraph"/>
      </w:pPr>
      <w:r>
        <w:t xml:space="preserve">A Parts revenue result around or above</w:t>
      </w:r>
      <w:r>
        <w:t xml:space="preserve"> </w:t>
      </w:r>
      <w:r>
        <w:rPr>
          <w:b/>
          <w:bCs/>
        </w:rPr>
        <w:t xml:space="preserve">$1.76 billion</w:t>
      </w:r>
      <w:r>
        <w:t xml:space="preserve">, accompanied by stable or improving margins, would support the recovery narrative. Another quarter of weak volume and margin compression would raise doubts about the full-year growth target.</w:t>
      </w:r>
    </w:p>
    <w:p>
      <w:r>
        <w:pict>
          <v:rect style="width:0;height:1.5pt" o:hralign="center" o:hrstd="t" o:hr="t"/>
        </w:pict>
      </w:r>
    </w:p>
    <w:bookmarkEnd w:id="15"/>
    <w:bookmarkStart w:id="16" w:name="X251c739808496669c59ff957a1ea6d2db394800"/>
    <w:p>
      <w:pPr>
        <w:pStyle w:val="Heading2"/>
      </w:pPr>
      <w:r>
        <w:t xml:space="preserve">4. Financial Services credit is the underappreciated risk</w:t>
      </w:r>
    </w:p>
    <w:p>
      <w:pPr>
        <w:pStyle w:val="FirstParagraph"/>
      </w:pPr>
      <w:r>
        <w:t xml:space="preserve">PACCAR Financial Services produced solid Q1 pretax income of</w:t>
      </w:r>
      <w:r>
        <w:t xml:space="preserve"> </w:t>
      </w:r>
      <w:r>
        <w:rPr>
          <w:b/>
          <w:bCs/>
        </w:rPr>
        <w:t xml:space="preserve">$115.5 million</w:t>
      </w:r>
      <w:r>
        <w:t xml:space="preserve">, but the portfolio’s credit indicators weakened:</w:t>
      </w:r>
    </w:p>
    <w:p>
      <w:pPr>
        <w:pStyle w:val="Compact"/>
        <w:numPr>
          <w:ilvl w:val="0"/>
          <w:numId w:val="1008"/>
        </w:numPr>
      </w:pPr>
      <w:r>
        <w:t xml:space="preserve">Provision for credit losses rose to</w:t>
      </w:r>
      <w:r>
        <w:t xml:space="preserve"> </w:t>
      </w:r>
      <w:r>
        <w:rPr>
          <w:b/>
          <w:bCs/>
        </w:rPr>
        <w:t xml:space="preserve">$44.1 million</w:t>
      </w:r>
      <w:r>
        <w:t xml:space="preserve"> </w:t>
      </w:r>
      <w:r>
        <w:t xml:space="preserve">from $18.3 million a year earlier.</w:t>
      </w:r>
    </w:p>
    <w:p>
      <w:pPr>
        <w:pStyle w:val="Compact"/>
        <w:numPr>
          <w:ilvl w:val="0"/>
          <w:numId w:val="1008"/>
        </w:numPr>
      </w:pPr>
      <w:r>
        <w:t xml:space="preserve">Net charge-offs increased to</w:t>
      </w:r>
      <w:r>
        <w:t xml:space="preserve"> </w:t>
      </w:r>
      <w:r>
        <w:rPr>
          <w:b/>
          <w:bCs/>
        </w:rPr>
        <w:t xml:space="preserve">$43.1 million</w:t>
      </w:r>
      <w:r>
        <w:t xml:space="preserve"> </w:t>
      </w:r>
      <w:r>
        <w:t xml:space="preserve">from $21.0 million.</w:t>
      </w:r>
    </w:p>
    <w:p>
      <w:pPr>
        <w:pStyle w:val="Compact"/>
        <w:numPr>
          <w:ilvl w:val="0"/>
          <w:numId w:val="1008"/>
        </w:numPr>
      </w:pPr>
      <w:r>
        <w:t xml:space="preserve">Worldwide accounts at least 30 days past due were</w:t>
      </w:r>
      <w:r>
        <w:t xml:space="preserve"> </w:t>
      </w:r>
      <w:r>
        <w:rPr>
          <w:b/>
          <w:bCs/>
        </w:rPr>
        <w:t xml:space="preserve">2.4%</w:t>
      </w:r>
      <w:r>
        <w:t xml:space="preserve">, double the prior-year level.</w:t>
      </w:r>
    </w:p>
    <w:p>
      <w:pPr>
        <w:pStyle w:val="Compact"/>
        <w:numPr>
          <w:ilvl w:val="0"/>
          <w:numId w:val="1008"/>
        </w:numPr>
      </w:pPr>
      <w:r>
        <w:t xml:space="preserve">Credit-related loan modifications rose substantially.</w:t>
      </w:r>
    </w:p>
    <w:p>
      <w:pPr>
        <w:pStyle w:val="Compact"/>
        <w:numPr>
          <w:ilvl w:val="0"/>
          <w:numId w:val="1008"/>
        </w:numPr>
      </w:pPr>
      <w:r>
        <w:t xml:space="preserve">Weakness was concentrated in Brazil and parts of the North American trucking market.</w:t>
      </w:r>
    </w:p>
    <w:p>
      <w:pPr>
        <w:pStyle w:val="FirstParagraph"/>
      </w:pPr>
      <w:r>
        <w:t xml:space="preserve">There were also encouraging signs: used-truck inventory declined, losses on used-truck sales improved and management said used-truck pricing and demand had begun to strengthen.</w:t>
      </w:r>
    </w:p>
    <w:p>
      <w:pPr>
        <w:pStyle w:val="BodyText"/>
      </w:pPr>
      <w:r>
        <w:t xml:space="preserve">Watch for:</w:t>
      </w:r>
    </w:p>
    <w:p>
      <w:pPr>
        <w:pStyle w:val="Compact"/>
        <w:numPr>
          <w:ilvl w:val="0"/>
          <w:numId w:val="1009"/>
        </w:numPr>
      </w:pPr>
      <w:r>
        <w:t xml:space="preserve">Provision and charge-off trends.</w:t>
      </w:r>
    </w:p>
    <w:p>
      <w:pPr>
        <w:pStyle w:val="Compact"/>
        <w:numPr>
          <w:ilvl w:val="0"/>
          <w:numId w:val="1009"/>
        </w:numPr>
      </w:pPr>
      <w:r>
        <w:t xml:space="preserve">Past-due accounts, including the effect of modified loans.</w:t>
      </w:r>
    </w:p>
    <w:p>
      <w:pPr>
        <w:pStyle w:val="Compact"/>
        <w:numPr>
          <w:ilvl w:val="0"/>
          <w:numId w:val="1009"/>
        </w:numPr>
      </w:pPr>
      <w:r>
        <w:t xml:space="preserve">Conditions in Brazil.</w:t>
      </w:r>
    </w:p>
    <w:p>
      <w:pPr>
        <w:pStyle w:val="Compact"/>
        <w:numPr>
          <w:ilvl w:val="0"/>
          <w:numId w:val="1009"/>
        </w:numPr>
      </w:pPr>
      <w:r>
        <w:t xml:space="preserve">Used-truck prices and disposal losses.</w:t>
      </w:r>
    </w:p>
    <w:p>
      <w:pPr>
        <w:pStyle w:val="Compact"/>
        <w:numPr>
          <w:ilvl w:val="0"/>
          <w:numId w:val="1009"/>
        </w:numPr>
      </w:pPr>
      <w:r>
        <w:t xml:space="preserve">Whether Financial Services pretax income remains around or above the Q1 level.</w:t>
      </w:r>
    </w:p>
    <w:p>
      <w:pPr>
        <w:pStyle w:val="FirstParagraph"/>
      </w:pPr>
      <w:r>
        <w:t xml:space="preserve">A production recovery accompanied by deteriorating fleet credit would be a mixed signal. Conversely, stable delinquencies and lower provisions would validate management’s view that freight-market conditions are improving.</w:t>
      </w:r>
    </w:p>
    <w:p>
      <w:r>
        <w:pict>
          <v:rect style="width:0;height:1.5pt" o:hralign="center" o:hrstd="t" o:hr="t"/>
        </w:pict>
      </w:r>
    </w:p>
    <w:bookmarkEnd w:id="16"/>
    <w:bookmarkStart w:id="19" w:name="Xdcacf2f11333cf203f2afea641b5dde852c0722"/>
    <w:p>
      <w:pPr>
        <w:pStyle w:val="Heading2"/>
      </w:pPr>
      <w:r>
        <w:t xml:space="preserve">5. Guidance will drive the reaction</w:t>
      </w:r>
    </w:p>
    <w:p>
      <w:pPr>
        <w:pStyle w:val="FirstParagraph"/>
      </w:pPr>
      <w:r>
        <w:t xml:space="preserve">The quarter itself largely reflects guidance PACCAR gave in April. The larger debate concerns Q3, Q4 and 2027.</w:t>
      </w:r>
    </w:p>
    <w:bookmarkStart w:id="17" w:name="truck-market-outlook"/>
    <w:p>
      <w:pPr>
        <w:pStyle w:val="Heading3"/>
      </w:pPr>
      <w:r>
        <w:t xml:space="preserve">Truck-market outlook</w:t>
      </w:r>
    </w:p>
    <w:p>
      <w:pPr>
        <w:pStyle w:val="FirstParagraph"/>
      </w:pPr>
      <w:r>
        <w:t xml:space="preserve">PACCAR’s existing 2026 market forecasts are:</w:t>
      </w:r>
    </w:p>
    <w:p>
      <w:pPr>
        <w:pStyle w:val="Compact"/>
        <w:numPr>
          <w:ilvl w:val="0"/>
          <w:numId w:val="1010"/>
        </w:numPr>
      </w:pPr>
      <w:r>
        <w:rPr>
          <w:b/>
          <w:bCs/>
        </w:rPr>
        <w:t xml:space="preserve">U.S. and Canada Class 8:</w:t>
      </w:r>
      <w:r>
        <w:t xml:space="preserve"> </w:t>
      </w:r>
      <w:r>
        <w:t xml:space="preserve">230,000–270,000</w:t>
      </w:r>
    </w:p>
    <w:p>
      <w:pPr>
        <w:pStyle w:val="Compact"/>
        <w:numPr>
          <w:ilvl w:val="0"/>
          <w:numId w:val="1010"/>
        </w:numPr>
      </w:pPr>
      <w:r>
        <w:rPr>
          <w:b/>
          <w:bCs/>
        </w:rPr>
        <w:t xml:space="preserve">Europe above 16 tonnes:</w:t>
      </w:r>
      <w:r>
        <w:t xml:space="preserve"> </w:t>
      </w:r>
      <w:r>
        <w:t xml:space="preserve">280,000–320,000</w:t>
      </w:r>
    </w:p>
    <w:p>
      <w:pPr>
        <w:pStyle w:val="Compact"/>
        <w:numPr>
          <w:ilvl w:val="0"/>
          <w:numId w:val="1010"/>
        </w:numPr>
      </w:pPr>
      <w:r>
        <w:rPr>
          <w:b/>
          <w:bCs/>
        </w:rPr>
        <w:t xml:space="preserve">South America above 16 tonnes:</w:t>
      </w:r>
      <w:r>
        <w:t xml:space="preserve"> </w:t>
      </w:r>
      <w:r>
        <w:t xml:space="preserve">100,000–110,000</w:t>
      </w:r>
    </w:p>
    <w:p>
      <w:pPr>
        <w:pStyle w:val="FirstParagraph"/>
      </w:pPr>
      <w:r>
        <w:t xml:space="preserve">The midpoint of the North American range requires a sharp production acceleration after a weak first quarter. Investors will want to know whether supplier hiring, component availability or raw-material constraints limit that ramp.</w:t>
      </w:r>
    </w:p>
    <w:p>
      <w:pPr>
        <w:pStyle w:val="BodyText"/>
      </w:pPr>
      <w:r>
        <w:t xml:space="preserve">Any increase in the North American range would be bullish. Keeping the range unchanged could still be constructive if PACCAR raises its own delivery or margin expectations. A reduction would challenge the current recovery thesis.</w:t>
      </w:r>
    </w:p>
    <w:bookmarkEnd w:id="17"/>
    <w:bookmarkStart w:id="18" w:name="X9bdf340970918d285205d166ea33bbab1be5e2a"/>
    <w:p>
      <w:pPr>
        <w:pStyle w:val="Heading3"/>
      </w:pPr>
      <w:r>
        <w:t xml:space="preserve">2027 emissions prebuy</w:t>
      </w:r>
    </w:p>
    <w:p>
      <w:pPr>
        <w:pStyle w:val="FirstParagraph"/>
      </w:pPr>
      <w:r>
        <w:t xml:space="preserve">Management previously characterized demand as a combination of:</w:t>
      </w:r>
    </w:p>
    <w:p>
      <w:pPr>
        <w:pStyle w:val="Compact"/>
        <w:numPr>
          <w:ilvl w:val="0"/>
          <w:numId w:val="1011"/>
        </w:numPr>
      </w:pPr>
      <w:r>
        <w:t xml:space="preserve">A genuine replacement recovery as fleets become healthier.</w:t>
      </w:r>
    </w:p>
    <w:p>
      <w:pPr>
        <w:pStyle w:val="Compact"/>
        <w:numPr>
          <w:ilvl w:val="0"/>
          <w:numId w:val="1011"/>
        </w:numPr>
      </w:pPr>
      <w:r>
        <w:t xml:space="preserve">Purchases pulled forward ahead of more expensive 2027 emissions-compliant engines.</w:t>
      </w:r>
    </w:p>
    <w:p>
      <w:pPr>
        <w:pStyle w:val="FirstParagraph"/>
      </w:pPr>
      <w:r>
        <w:t xml:space="preserve">The distinction matters. A replacement-led recovery could be durable; a heavily prebuy-driven surge could create a 2027 air pocket.</w:t>
      </w:r>
    </w:p>
    <w:p>
      <w:pPr>
        <w:pStyle w:val="BodyText"/>
      </w:pPr>
      <w:r>
        <w:t xml:space="preserve">Key call questions include:</w:t>
      </w:r>
    </w:p>
    <w:p>
      <w:pPr>
        <w:pStyle w:val="Compact"/>
        <w:numPr>
          <w:ilvl w:val="0"/>
          <w:numId w:val="1012"/>
        </w:numPr>
      </w:pPr>
      <w:r>
        <w:t xml:space="preserve">How much of the backlog represents normal replacement versus prebuy?</w:t>
      </w:r>
    </w:p>
    <w:p>
      <w:pPr>
        <w:pStyle w:val="Compact"/>
        <w:numPr>
          <w:ilvl w:val="0"/>
          <w:numId w:val="1012"/>
        </w:numPr>
      </w:pPr>
      <w:r>
        <w:t xml:space="preserve">Are Q3 and Q4 still similarly full?</w:t>
      </w:r>
    </w:p>
    <w:p>
      <w:pPr>
        <w:pStyle w:val="Compact"/>
        <w:numPr>
          <w:ilvl w:val="0"/>
          <w:numId w:val="1012"/>
        </w:numPr>
      </w:pPr>
      <w:r>
        <w:t xml:space="preserve">Have customers begun discussing early-2027 deliveries?</w:t>
      </w:r>
    </w:p>
    <w:p>
      <w:pPr>
        <w:pStyle w:val="Compact"/>
        <w:numPr>
          <w:ilvl w:val="0"/>
          <w:numId w:val="1012"/>
        </w:numPr>
      </w:pPr>
      <w:r>
        <w:t xml:space="preserve">Is PACCAR ready to launch its 2027 engine systems on schedule?</w:t>
      </w:r>
    </w:p>
    <w:p>
      <w:pPr>
        <w:pStyle w:val="Compact"/>
        <w:numPr>
          <w:ilvl w:val="0"/>
          <w:numId w:val="1012"/>
        </w:numPr>
      </w:pPr>
      <w:r>
        <w:t xml:space="preserve">Does management expect production to peak in late 2026 or remain elevated into 2027?</w:t>
      </w:r>
    </w:p>
    <w:p>
      <w:r>
        <w:pict>
          <v:rect style="width:0;height:1.5pt" o:hralign="center" o:hrstd="t" o:hr="t"/>
        </w:pict>
      </w:r>
    </w:p>
    <w:bookmarkEnd w:id="18"/>
    <w:bookmarkEnd w:id="19"/>
    <w:bookmarkStart w:id="20" w:name="Xab3798c8af2a5ef703851a766525b8f80ce5d94"/>
    <w:p>
      <w:pPr>
        <w:pStyle w:val="Heading2"/>
      </w:pPr>
      <w:r>
        <w:t xml:space="preserve">6. Tariffs have become a fresh source of uncertainty</w:t>
      </w:r>
    </w:p>
    <w:p>
      <w:pPr>
        <w:pStyle w:val="FirstParagraph"/>
      </w:pPr>
      <w:r>
        <w:t xml:space="preserve">PACCAR’s localized North American manufacturing footprint gives it an advantage over more import-dependent competitors. Management previously said the company produces trucks for U.S. customers in Ohio, Texas and Washington and expected only a moderate impact from truck-specific tariffs after available offsets.</w:t>
      </w:r>
    </w:p>
    <w:p>
      <w:pPr>
        <w:pStyle w:val="BodyText"/>
      </w:pPr>
      <w:r>
        <w:t xml:space="preserve">Nevertheless, trade policy has changed again in recent weeks, including new tariffs affecting numerous U.S. trading partners and renewed tariff threats involving Canada. That increases uncertainty around material costs, imported parts and cross-border truck production. PACCAR’s commentary on price/cost, tariff credits and supplier sourcing will therefore be closely watched.</w:t>
      </w:r>
    </w:p>
    <w:p>
      <w:pPr>
        <w:pStyle w:val="BodyText"/>
      </w:pPr>
      <w:r>
        <w:t xml:space="preserve">Important questions include:</w:t>
      </w:r>
    </w:p>
    <w:p>
      <w:pPr>
        <w:pStyle w:val="Compact"/>
        <w:numPr>
          <w:ilvl w:val="0"/>
          <w:numId w:val="1013"/>
        </w:numPr>
      </w:pPr>
      <w:r>
        <w:t xml:space="preserve">Has tariff exposure changed since April?</w:t>
      </w:r>
    </w:p>
    <w:p>
      <w:pPr>
        <w:pStyle w:val="Compact"/>
        <w:numPr>
          <w:ilvl w:val="0"/>
          <w:numId w:val="1013"/>
        </w:numPr>
      </w:pPr>
      <w:r>
        <w:t xml:space="preserve">Are new Canadian measures material to PACCAR’s local-for-local strategy?</w:t>
      </w:r>
    </w:p>
    <w:p>
      <w:pPr>
        <w:pStyle w:val="Compact"/>
        <w:numPr>
          <w:ilvl w:val="0"/>
          <w:numId w:val="1013"/>
        </w:numPr>
      </w:pPr>
      <w:r>
        <w:t xml:space="preserve">Has the company recognized any tariff credits or recoveries?</w:t>
      </w:r>
    </w:p>
    <w:p>
      <w:pPr>
        <w:pStyle w:val="Compact"/>
        <w:numPr>
          <w:ilvl w:val="0"/>
          <w:numId w:val="1013"/>
        </w:numPr>
      </w:pPr>
      <w:r>
        <w:t xml:space="preserve">Can pricing continue to offset steel, aluminum and component inflation?</w:t>
      </w:r>
    </w:p>
    <w:p>
      <w:pPr>
        <w:pStyle w:val="Compact"/>
        <w:numPr>
          <w:ilvl w:val="0"/>
          <w:numId w:val="1013"/>
        </w:numPr>
      </w:pPr>
      <w:r>
        <w:t xml:space="preserve">Are competitors becoming more disciplined on price as their tariff costs rise?</w:t>
      </w:r>
    </w:p>
    <w:p>
      <w:r>
        <w:pict>
          <v:rect style="width:0;height:1.5pt" o:hralign="center" o:hrstd="t" o:hr="t"/>
        </w:pict>
      </w:r>
    </w:p>
    <w:bookmarkEnd w:id="20"/>
    <w:bookmarkStart w:id="21" w:name="Xd1e5b16f9316c6bd6f8ba78572d0e69f7e7d034"/>
    <w:p>
      <w:pPr>
        <w:pStyle w:val="Heading2"/>
      </w:pPr>
      <w:r>
        <w:t xml:space="preserve">7. Expectations are no longer especially low</w:t>
      </w:r>
    </w:p>
    <w:p>
      <w:pPr>
        <w:pStyle w:val="FirstParagraph"/>
      </w:pPr>
      <w:r>
        <w:t xml:space="preserve">PCAR shares closed around</w:t>
      </w:r>
      <w:r>
        <w:t xml:space="preserve"> </w:t>
      </w:r>
      <m:oMath>
        <m:r>
          <m:t>133</m:t>
        </m:r>
        <m:r>
          <m:rPr>
            <m:sty m:val="p"/>
          </m:rPr>
          <m:t>*</m:t>
        </m:r>
        <m:r>
          <m:rPr>
            <m:sty m:val="p"/>
          </m:rPr>
          <m:t>*</m:t>
        </m:r>
        <m:r>
          <m:t>i</m:t>
        </m:r>
        <m:r>
          <m:t>m</m:t>
        </m:r>
        <m:r>
          <m:t>m</m:t>
        </m:r>
        <m:r>
          <m:t>e</m:t>
        </m:r>
        <m:r>
          <m:t>d</m:t>
        </m:r>
        <m:r>
          <m:t>i</m:t>
        </m:r>
        <m:r>
          <m:t>a</m:t>
        </m:r>
        <m:r>
          <m:t>t</m:t>
        </m:r>
        <m:r>
          <m:t>e</m:t>
        </m:r>
        <m:r>
          <m:t>l</m:t>
        </m:r>
        <m:r>
          <m:t>y</m:t>
        </m:r>
        <m:r>
          <m:t>b</m:t>
        </m:r>
        <m:r>
          <m:t>e</m:t>
        </m:r>
        <m:r>
          <m:t>f</m:t>
        </m:r>
        <m:r>
          <m:t>o</m:t>
        </m:r>
        <m:r>
          <m:t>r</m:t>
        </m:r>
        <m:r>
          <m:t>e</m:t>
        </m:r>
        <m:r>
          <m:t>t</m:t>
        </m:r>
        <m:r>
          <m:t>h</m:t>
        </m:r>
        <m:r>
          <m:t>e</m:t>
        </m:r>
        <m:r>
          <m:t>r</m:t>
        </m:r>
        <m:r>
          <m:t>e</m:t>
        </m:r>
        <m:r>
          <m:t>p</m:t>
        </m:r>
        <m:r>
          <m:t>o</m:t>
        </m:r>
        <m:r>
          <m:t>r</m:t>
        </m:r>
        <m:r>
          <m:t>t</m:t>
        </m:r>
        <m:r>
          <m:rPr>
            <m:sty m:val="p"/>
          </m:rPr>
          <m:t>,</m:t>
        </m:r>
        <m:r>
          <m:t>n</m:t>
        </m:r>
        <m:r>
          <m:t>e</m:t>
        </m:r>
        <m:r>
          <m:t>a</m:t>
        </m:r>
        <m:r>
          <m:t>r</m:t>
        </m:r>
        <m:r>
          <m:t>t</m:t>
        </m:r>
        <m:r>
          <m:t>h</m:t>
        </m:r>
        <m:r>
          <m:t>e</m:t>
        </m:r>
        <m:r>
          <m:t>h</m:t>
        </m:r>
        <m:r>
          <m:t>i</m:t>
        </m:r>
        <m:r>
          <m:t>g</m:t>
        </m:r>
        <m:r>
          <m:t>h</m:t>
        </m:r>
        <m:r>
          <m:t>e</m:t>
        </m:r>
        <m:r>
          <m:t>n</m:t>
        </m:r>
        <m:r>
          <m:t>d</m:t>
        </m:r>
        <m:r>
          <m:t>o</m:t>
        </m:r>
        <m:r>
          <m:t>f</m:t>
        </m:r>
        <m:r>
          <m:t>t</m:t>
        </m:r>
        <m:r>
          <m:t>h</m:t>
        </m:r>
        <m:r>
          <m:t>e</m:t>
        </m:r>
        <m:r>
          <m:t>i</m:t>
        </m:r>
        <m:r>
          <m:t>r</m:t>
        </m:r>
        <m:r>
          <m:t>2026</m:t>
        </m:r>
        <m:r>
          <m:t>t</m:t>
        </m:r>
        <m:r>
          <m:t>r</m:t>
        </m:r>
        <m:r>
          <m:t>a</m:t>
        </m:r>
        <m:r>
          <m:t>d</m:t>
        </m:r>
        <m:r>
          <m:t>i</m:t>
        </m:r>
        <m:r>
          <m:t>n</m:t>
        </m:r>
        <m:r>
          <m:t>g</m:t>
        </m:r>
        <m:r>
          <m:t>r</m:t>
        </m:r>
        <m:r>
          <m:t>a</m:t>
        </m:r>
        <m:r>
          <m:t>n</m:t>
        </m:r>
        <m:r>
          <m:t>g</m:t>
        </m:r>
        <m:r>
          <m:t>e</m:t>
        </m:r>
        <m:r>
          <m:rPr>
            <m:sty m:val="p"/>
          </m:rPr>
          <m:t>.</m:t>
        </m:r>
        <m:r>
          <m:t>P</m:t>
        </m:r>
        <m:r>
          <m:t>u</m:t>
        </m:r>
        <m:r>
          <m:t>b</m:t>
        </m:r>
        <m:r>
          <m:t>l</m:t>
        </m:r>
        <m:r>
          <m:t>i</m:t>
        </m:r>
        <m:r>
          <m:t>s</m:t>
        </m:r>
        <m:r>
          <m:t>h</m:t>
        </m:r>
        <m:r>
          <m:t>e</m:t>
        </m:r>
        <m:r>
          <m:t>d</m:t>
        </m:r>
        <m:r>
          <m:t>e</m:t>
        </m:r>
        <m:r>
          <m:t>s</m:t>
        </m:r>
        <m:r>
          <m:t>t</m:t>
        </m:r>
        <m:r>
          <m:t>i</m:t>
        </m:r>
        <m:r>
          <m:t>m</m:t>
        </m:r>
        <m:r>
          <m:t>a</m:t>
        </m:r>
        <m:r>
          <m:t>t</m:t>
        </m:r>
        <m:r>
          <m:t>e</m:t>
        </m:r>
        <m:r>
          <m:t>s</m:t>
        </m:r>
        <m:r>
          <m:t>i</m:t>
        </m:r>
        <m:r>
          <m:t>m</m:t>
        </m:r>
        <m:r>
          <m:t>p</m:t>
        </m:r>
        <m:r>
          <m:t>l</m:t>
        </m:r>
        <m:r>
          <m:t>y</m:t>
        </m:r>
        <m:r>
          <m:t>a</m:t>
        </m:r>
        <m:r>
          <m:t>p</m:t>
        </m:r>
        <m:r>
          <m:t>p</m:t>
        </m:r>
        <m:r>
          <m:t>r</m:t>
        </m:r>
        <m:r>
          <m:t>o</m:t>
        </m:r>
        <m:r>
          <m:t>x</m:t>
        </m:r>
        <m:r>
          <m:t>i</m:t>
        </m:r>
        <m:r>
          <m:t>m</m:t>
        </m:r>
        <m:r>
          <m:t>a</m:t>
        </m:r>
        <m:r>
          <m:t>t</m:t>
        </m:r>
        <m:r>
          <m:t>e</m:t>
        </m:r>
        <m:r>
          <m:t>l</m:t>
        </m:r>
        <m:r>
          <m:t>y</m:t>
        </m:r>
        <m:r>
          <m:rPr>
            <m:sty m:val="p"/>
          </m:rPr>
          <m:t>*</m:t>
        </m:r>
        <m:r>
          <m:rPr>
            <m:sty m:val="p"/>
          </m:rPr>
          <m:t>*</m:t>
        </m:r>
      </m:oMath>
      <w:r>
        <w:rPr>
          <w:b/>
          <w:bCs/>
        </w:rPr>
        <w:t xml:space="preserve">5.62</w:t>
      </w:r>
      <w:r>
        <w:t xml:space="preserve"> </w:t>
      </w:r>
      <w:r>
        <w:t xml:space="preserve">of 2026 EPS, putting the stock at a valuation that already anticipates a meaningful second-half earnings recovery. (</w:t>
      </w:r>
      <w:hyperlink r:id="rId10">
        <w:r>
          <w:rPr>
            <w:rStyle w:val="Hyperlink"/>
          </w:rPr>
          <w:t xml:space="preserve">marketbeat.com</w:t>
        </w:r>
      </w:hyperlink>
      <w:r>
        <w:t xml:space="preserve">)</w:t>
      </w:r>
    </w:p>
    <w:p>
      <w:pPr>
        <w:pStyle w:val="BodyText"/>
      </w:pPr>
      <w:r>
        <w:t xml:space="preserve">That raises the bar. A modest EPS beat paired with unchanged guidance may not be enough. The market is likely looking for confirmation that:</w:t>
      </w:r>
    </w:p>
    <w:p>
      <w:pPr>
        <w:pStyle w:val="Compact"/>
        <w:numPr>
          <w:ilvl w:val="0"/>
          <w:numId w:val="1014"/>
        </w:numPr>
      </w:pPr>
      <w:r>
        <w:t xml:space="preserve">Truck deliveries continue rising.</w:t>
      </w:r>
    </w:p>
    <w:p>
      <w:pPr>
        <w:pStyle w:val="Compact"/>
        <w:numPr>
          <w:ilvl w:val="0"/>
          <w:numId w:val="1014"/>
        </w:numPr>
      </w:pPr>
      <w:r>
        <w:t xml:space="preserve">Margins expand faster than costs.</w:t>
      </w:r>
    </w:p>
    <w:p>
      <w:pPr>
        <w:pStyle w:val="Compact"/>
        <w:numPr>
          <w:ilvl w:val="0"/>
          <w:numId w:val="1014"/>
        </w:numPr>
      </w:pPr>
      <w:r>
        <w:t xml:space="preserve">Parts demand accelerates.</w:t>
      </w:r>
    </w:p>
    <w:p>
      <w:pPr>
        <w:pStyle w:val="Compact"/>
        <w:numPr>
          <w:ilvl w:val="0"/>
          <w:numId w:val="1014"/>
        </w:numPr>
      </w:pPr>
      <w:r>
        <w:t xml:space="preserve">Financial Services credit stops deteriorating.</w:t>
      </w:r>
    </w:p>
    <w:p>
      <w:pPr>
        <w:pStyle w:val="Compact"/>
        <w:numPr>
          <w:ilvl w:val="0"/>
          <w:numId w:val="1014"/>
        </w:numPr>
      </w:pPr>
      <w:r>
        <w:t xml:space="preserve">The recovery extends beyond a temporary emissions prebuy.</w:t>
      </w:r>
    </w:p>
    <w:p>
      <w:r>
        <w:pict>
          <v:rect style="width:0;height:1.5pt" o:hralign="center" o:hrstd="t" o:hr="t"/>
        </w:pict>
      </w:r>
    </w:p>
    <w:bookmarkEnd w:id="21"/>
    <w:bookmarkStart w:id="25" w:name="bull-base-and-bear-scorecard"/>
    <w:p>
      <w:pPr>
        <w:pStyle w:val="Heading2"/>
      </w:pPr>
      <w:r>
        <w:t xml:space="preserve">Bull, base and bear scorecard</w:t>
      </w:r>
    </w:p>
    <w:bookmarkStart w:id="22" w:name="bull-case"/>
    <w:p>
      <w:pPr>
        <w:pStyle w:val="Heading3"/>
      </w:pPr>
      <w:r>
        <w:t xml:space="preserve">Bull case</w:t>
      </w:r>
    </w:p>
    <w:p>
      <w:pPr>
        <w:pStyle w:val="Compact"/>
        <w:numPr>
          <w:ilvl w:val="0"/>
          <w:numId w:val="1015"/>
        </w:numPr>
      </w:pPr>
      <w:r>
        <w:t xml:space="preserve">EPS above</w:t>
      </w:r>
      <w:r>
        <w:t xml:space="preserve"> </w:t>
      </w:r>
      <w:r>
        <w:rPr>
          <w:b/>
          <w:bCs/>
        </w:rPr>
        <w:t xml:space="preserve">$1.40</w:t>
      </w:r>
    </w:p>
    <w:p>
      <w:pPr>
        <w:pStyle w:val="Compact"/>
        <w:numPr>
          <w:ilvl w:val="0"/>
          <w:numId w:val="1015"/>
        </w:numPr>
      </w:pPr>
      <w:r>
        <w:t xml:space="preserve">Revenue above approximately</w:t>
      </w:r>
      <w:r>
        <w:t xml:space="preserve"> </w:t>
      </w:r>
      <w:r>
        <w:rPr>
          <w:b/>
          <w:bCs/>
        </w:rPr>
        <w:t xml:space="preserve">$7.1 billion</w:t>
      </w:r>
    </w:p>
    <w:p>
      <w:pPr>
        <w:pStyle w:val="Compact"/>
        <w:numPr>
          <w:ilvl w:val="0"/>
          <w:numId w:val="1015"/>
        </w:numPr>
      </w:pPr>
      <w:r>
        <w:t xml:space="preserve">Deliveries at or above</w:t>
      </w:r>
      <w:r>
        <w:t xml:space="preserve"> </w:t>
      </w:r>
      <w:r>
        <w:rPr>
          <w:b/>
          <w:bCs/>
        </w:rPr>
        <w:t xml:space="preserve">38,000</w:t>
      </w:r>
    </w:p>
    <w:p>
      <w:pPr>
        <w:pStyle w:val="Compact"/>
        <w:numPr>
          <w:ilvl w:val="0"/>
          <w:numId w:val="1015"/>
        </w:numPr>
      </w:pPr>
      <w:r>
        <w:t xml:space="preserve">Gross margin above</w:t>
      </w:r>
      <w:r>
        <w:t xml:space="preserve"> </w:t>
      </w:r>
      <w:r>
        <w:rPr>
          <w:b/>
          <w:bCs/>
        </w:rPr>
        <w:t xml:space="preserve">13.5%</w:t>
      </w:r>
    </w:p>
    <w:p>
      <w:pPr>
        <w:pStyle w:val="Compact"/>
        <w:numPr>
          <w:ilvl w:val="0"/>
          <w:numId w:val="1015"/>
        </w:numPr>
      </w:pPr>
      <w:r>
        <w:t xml:space="preserve">Parts growth exceeds the 3% Q2 target with stable margins</w:t>
      </w:r>
    </w:p>
    <w:p>
      <w:pPr>
        <w:pStyle w:val="Compact"/>
        <w:numPr>
          <w:ilvl w:val="0"/>
          <w:numId w:val="1015"/>
        </w:numPr>
      </w:pPr>
      <w:r>
        <w:t xml:space="preserve">Credit provisions decline sequentially</w:t>
      </w:r>
    </w:p>
    <w:p>
      <w:pPr>
        <w:pStyle w:val="Compact"/>
        <w:numPr>
          <w:ilvl w:val="0"/>
          <w:numId w:val="1015"/>
        </w:numPr>
      </w:pPr>
      <w:r>
        <w:t xml:space="preserve">North American market or second-half production guidance increases</w:t>
      </w:r>
    </w:p>
    <w:p>
      <w:pPr>
        <w:pStyle w:val="Compact"/>
        <w:numPr>
          <w:ilvl w:val="0"/>
          <w:numId w:val="1015"/>
        </w:numPr>
      </w:pPr>
      <w:r>
        <w:t xml:space="preserve">Management describes Q3 and Q4 order books as effectively full</w:t>
      </w:r>
    </w:p>
    <w:bookmarkEnd w:id="22"/>
    <w:bookmarkStart w:id="23" w:name="base-case"/>
    <w:p>
      <w:pPr>
        <w:pStyle w:val="Heading3"/>
      </w:pPr>
      <w:r>
        <w:t xml:space="preserve">Base case</w:t>
      </w:r>
    </w:p>
    <w:p>
      <w:pPr>
        <w:pStyle w:val="Compact"/>
        <w:numPr>
          <w:ilvl w:val="0"/>
          <w:numId w:val="1016"/>
        </w:numPr>
      </w:pPr>
      <w:r>
        <w:t xml:space="preserve">EPS of</w:t>
      </w:r>
      <w:r>
        <w:t xml:space="preserve"> </w:t>
      </w:r>
      <m:oMath>
        <m:r>
          <m:t>1.33</m:t>
        </m:r>
        <m:r>
          <m:rPr>
            <m:sty m:val="p"/>
          </m:rPr>
          <m:t>–</m:t>
        </m:r>
      </m:oMath>
      <w:r>
        <w:rPr>
          <w:b/>
          <w:bCs/>
        </w:rPr>
        <w:t xml:space="preserve">1.38</w:t>
      </w:r>
    </w:p>
    <w:p>
      <w:pPr>
        <w:pStyle w:val="Compact"/>
        <w:numPr>
          <w:ilvl w:val="0"/>
          <w:numId w:val="1016"/>
        </w:numPr>
      </w:pPr>
      <w:r>
        <w:t xml:space="preserve">Deliveries of</w:t>
      </w:r>
      <w:r>
        <w:t xml:space="preserve"> </w:t>
      </w:r>
      <w:r>
        <w:rPr>
          <w:b/>
          <w:bCs/>
        </w:rPr>
        <w:t xml:space="preserve">37,000–38,000</w:t>
      </w:r>
    </w:p>
    <w:p>
      <w:pPr>
        <w:pStyle w:val="Compact"/>
        <w:numPr>
          <w:ilvl w:val="0"/>
          <w:numId w:val="1016"/>
        </w:numPr>
      </w:pPr>
      <w:r>
        <w:t xml:space="preserve">Gross margin around</w:t>
      </w:r>
      <w:r>
        <w:t xml:space="preserve"> </w:t>
      </w:r>
      <w:r>
        <w:rPr>
          <w:b/>
          <w:bCs/>
        </w:rPr>
        <w:t xml:space="preserve">13.5%</w:t>
      </w:r>
    </w:p>
    <w:p>
      <w:pPr>
        <w:pStyle w:val="Compact"/>
        <w:numPr>
          <w:ilvl w:val="0"/>
          <w:numId w:val="1016"/>
        </w:numPr>
      </w:pPr>
      <w:r>
        <w:t xml:space="preserve">Parts growth near 3%</w:t>
      </w:r>
    </w:p>
    <w:p>
      <w:pPr>
        <w:pStyle w:val="Compact"/>
        <w:numPr>
          <w:ilvl w:val="0"/>
          <w:numId w:val="1016"/>
        </w:numPr>
      </w:pPr>
      <w:r>
        <w:t xml:space="preserve">Existing market forecasts and full-year Parts guidance maintained</w:t>
      </w:r>
    </w:p>
    <w:p>
      <w:pPr>
        <w:pStyle w:val="Compact"/>
        <w:numPr>
          <w:ilvl w:val="0"/>
          <w:numId w:val="1016"/>
        </w:numPr>
      </w:pPr>
      <w:r>
        <w:t xml:space="preserve">Management reiterates gradual sequential improvement</w:t>
      </w:r>
    </w:p>
    <w:p>
      <w:pPr>
        <w:pStyle w:val="FirstParagraph"/>
      </w:pPr>
      <w:r>
        <w:t xml:space="preserve">This would confirm the recovery but may produce a muted stock reaction given the recent share-price strength.</w:t>
      </w:r>
    </w:p>
    <w:bookmarkEnd w:id="23"/>
    <w:bookmarkStart w:id="24" w:name="bear-case"/>
    <w:p>
      <w:pPr>
        <w:pStyle w:val="Heading3"/>
      </w:pPr>
      <w:r>
        <w:t xml:space="preserve">Bear case</w:t>
      </w:r>
    </w:p>
    <w:p>
      <w:pPr>
        <w:pStyle w:val="Compact"/>
        <w:numPr>
          <w:ilvl w:val="0"/>
          <w:numId w:val="1017"/>
        </w:numPr>
      </w:pPr>
      <w:r>
        <w:t xml:space="preserve">EPS below</w:t>
      </w:r>
      <w:r>
        <w:t xml:space="preserve"> </w:t>
      </w:r>
      <w:r>
        <w:rPr>
          <w:b/>
          <w:bCs/>
        </w:rPr>
        <w:t xml:space="preserve">$1.30</w:t>
      </w:r>
    </w:p>
    <w:p>
      <w:pPr>
        <w:pStyle w:val="Compact"/>
        <w:numPr>
          <w:ilvl w:val="0"/>
          <w:numId w:val="1017"/>
        </w:numPr>
      </w:pPr>
      <w:r>
        <w:t xml:space="preserve">Deliveries below</w:t>
      </w:r>
      <w:r>
        <w:t xml:space="preserve"> </w:t>
      </w:r>
      <w:r>
        <w:rPr>
          <w:b/>
          <w:bCs/>
        </w:rPr>
        <w:t xml:space="preserve">37,000</w:t>
      </w:r>
    </w:p>
    <w:p>
      <w:pPr>
        <w:pStyle w:val="Compact"/>
        <w:numPr>
          <w:ilvl w:val="0"/>
          <w:numId w:val="1017"/>
        </w:numPr>
      </w:pPr>
      <w:r>
        <w:t xml:space="preserve">Gross margin below</w:t>
      </w:r>
      <w:r>
        <w:t xml:space="preserve"> </w:t>
      </w:r>
      <w:r>
        <w:rPr>
          <w:b/>
          <w:bCs/>
        </w:rPr>
        <w:t xml:space="preserve">13.3%</w:t>
      </w:r>
    </w:p>
    <w:p>
      <w:pPr>
        <w:pStyle w:val="Compact"/>
        <w:numPr>
          <w:ilvl w:val="0"/>
          <w:numId w:val="1017"/>
        </w:numPr>
      </w:pPr>
      <w:r>
        <w:t xml:space="preserve">Weak price/cost or unexpectedly competitive truck pricing</w:t>
      </w:r>
    </w:p>
    <w:p>
      <w:pPr>
        <w:pStyle w:val="Compact"/>
        <w:numPr>
          <w:ilvl w:val="0"/>
          <w:numId w:val="1017"/>
        </w:numPr>
      </w:pPr>
      <w:r>
        <w:t xml:space="preserve">Parts volumes remain soft and the full-year growth outlook is reduced</w:t>
      </w:r>
    </w:p>
    <w:p>
      <w:pPr>
        <w:pStyle w:val="Compact"/>
        <w:numPr>
          <w:ilvl w:val="0"/>
          <w:numId w:val="1017"/>
        </w:numPr>
      </w:pPr>
      <w:r>
        <w:t xml:space="preserve">Financial Services provisions or delinquencies worsen</w:t>
      </w:r>
    </w:p>
    <w:p>
      <w:pPr>
        <w:pStyle w:val="Compact"/>
        <w:numPr>
          <w:ilvl w:val="0"/>
          <w:numId w:val="1017"/>
        </w:numPr>
      </w:pPr>
      <w:r>
        <w:t xml:space="preserve">Backlog softens, customers defer deliveries or Q3 production guidance disappoints</w:t>
      </w:r>
    </w:p>
    <w:p>
      <w:pPr>
        <w:pStyle w:val="Compact"/>
        <w:numPr>
          <w:ilvl w:val="0"/>
          <w:numId w:val="1017"/>
        </w:numPr>
      </w:pPr>
      <w:r>
        <w:t xml:space="preserve">Tariffs or supplier constraints prevent the expected second-half ramp</w:t>
      </w:r>
    </w:p>
    <w:p>
      <w:r>
        <w:pict>
          <v:rect style="width:0;height:1.5pt" o:hralign="center" o:hrstd="t" o:hr="t"/>
        </w:pict>
      </w:r>
    </w:p>
    <w:bookmarkEnd w:id="24"/>
    <w:bookmarkEnd w:id="25"/>
    <w:bookmarkStart w:id="26" w:name="bottom-line"/>
    <w:p>
      <w:pPr>
        <w:pStyle w:val="Heading2"/>
      </w:pPr>
      <w:r>
        <w:t xml:space="preserve">Bottom line</w:t>
      </w:r>
    </w:p>
    <w:p>
      <w:pPr>
        <w:pStyle w:val="FirstParagraph"/>
      </w:pPr>
      <w:r>
        <w:t xml:space="preserve">This is primarily a</w:t>
      </w:r>
      <w:r>
        <w:t xml:space="preserve"> </w:t>
      </w:r>
      <w:r>
        <w:rPr>
          <w:b/>
          <w:bCs/>
        </w:rPr>
        <w:t xml:space="preserve">margin-and-guidance report</w:t>
      </w:r>
      <w:r>
        <w:t xml:space="preserve">, not an EPS-surprise event.</w:t>
      </w:r>
    </w:p>
    <w:p>
      <w:pPr>
        <w:pStyle w:val="BodyText"/>
      </w:pPr>
      <w:r>
        <w:t xml:space="preserve">PACCAR already told investors to expect substantially higher Q2 production and gross margin of approximately 13.5%. Meeting those numbers is necessary, but the stronger signal will be whether management sees further sequential improvement in Q3 and Q4.</w:t>
      </w:r>
    </w:p>
    <w:p>
      <w:pPr>
        <w:pStyle w:val="BodyText"/>
      </w:pPr>
      <w:r>
        <w:t xml:space="preserve">The cleanest bullish combination would be:</w:t>
      </w:r>
    </w:p>
    <w:p>
      <w:pPr>
        <w:pStyle w:val="Compact"/>
        <w:numPr>
          <w:ilvl w:val="0"/>
          <w:numId w:val="1018"/>
        </w:numPr>
      </w:pPr>
      <w:r>
        <w:t xml:space="preserve">Deliveries at the top of guidance.</w:t>
      </w:r>
    </w:p>
    <w:p>
      <w:pPr>
        <w:pStyle w:val="Compact"/>
        <w:numPr>
          <w:ilvl w:val="0"/>
          <w:numId w:val="1018"/>
        </w:numPr>
      </w:pPr>
      <w:r>
        <w:t xml:space="preserve">Gross margin above 13.5%.</w:t>
      </w:r>
    </w:p>
    <w:p>
      <w:pPr>
        <w:pStyle w:val="Compact"/>
        <w:numPr>
          <w:ilvl w:val="0"/>
          <w:numId w:val="1018"/>
        </w:numPr>
      </w:pPr>
      <w:r>
        <w:t xml:space="preserve">Improving underlying Parts volumes.</w:t>
      </w:r>
    </w:p>
    <w:p>
      <w:pPr>
        <w:pStyle w:val="Compact"/>
        <w:numPr>
          <w:ilvl w:val="0"/>
          <w:numId w:val="1018"/>
        </w:numPr>
      </w:pPr>
      <w:r>
        <w:t xml:space="preserve">Stabilizing Financial Services credit.</w:t>
      </w:r>
    </w:p>
    <w:p>
      <w:pPr>
        <w:pStyle w:val="Compact"/>
        <w:numPr>
          <w:ilvl w:val="0"/>
          <w:numId w:val="1018"/>
        </w:numPr>
      </w:pPr>
      <w:r>
        <w:t xml:space="preserve">Higher second-half production expectations without a deterioration in price/cost.</w:t>
      </w:r>
    </w:p>
    <w:p>
      <w:pPr>
        <w:pStyle w:val="FirstParagraph"/>
      </w:pPr>
      <w:r>
        <w:t xml:space="preserve">The principal risk is that the production recovery is real but less profitable than expected because of competitive pricing, tariffs, material inflation and a slower Parts rebound. With the stock already reflecting optimism, the outlook and quality of the earnings will likely matter more than a few cents of headline EPS.</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paccar.com/events-and-presentations/events/event-details/2026/PACCAR-Second-Quarter-2026-Earnings-Conference-Call-2026-buL30onNML/default.aspx" TargetMode="External" /><Relationship Type="http://schemas.openxmlformats.org/officeDocument/2006/relationships/hyperlink" Id="rId12" Target="https://investors.paccar.com/financials/quarterly-results/default.aspx?utm_source=openai" TargetMode="External" /><Relationship Type="http://schemas.openxmlformats.org/officeDocument/2006/relationships/hyperlink" Id="rId10" Target="https://www.marketbeat.com/earnings/reports/2026-7-28-paccar-inc-stock/"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paccar.com/events-and-presentations/events/event-details/2026/PACCAR-Second-Quarter-2026-Earnings-Conference-Call-2026-buL30onNML/default.aspx" TargetMode="External" /><Relationship Type="http://schemas.openxmlformats.org/officeDocument/2006/relationships/hyperlink" Id="rId12" Target="https://investors.paccar.com/financials/quarterly-results/default.aspx?utm_source=openai" TargetMode="External" /><Relationship Type="http://schemas.openxmlformats.org/officeDocument/2006/relationships/hyperlink" Id="rId10" Target="https://www.marketbeat.com/earnings/reports/2026-7-28-paccar-inc-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2026-07-28T00:56:24Z</dcterms:created>
  <dcterms:modified xsi:type="dcterms:W3CDTF">2026-07-28T00:56:24Z</dcterms:modified>
</cp:coreProperties>
</file>

<file path=docProps/custom.xml><?xml version="1.0" encoding="utf-8"?>
<Properties xmlns="http://schemas.openxmlformats.org/officeDocument/2006/custom-properties" xmlns:vt="http://schemas.openxmlformats.org/officeDocument/2006/docPropsVTypes"/>
</file>