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9" w:name="paccar-pcar-2q26-earnings-preview"/>
    <w:p>
      <w:pPr>
        <w:pStyle w:val="Heading1"/>
      </w:pPr>
      <w:r>
        <w:t xml:space="preserve">PACCAR (PCAR) 2Q26 Earnings Preview</w:t>
      </w:r>
    </w:p>
    <w:p>
      <w:pPr>
        <w:pStyle w:val="BlockText"/>
      </w:pPr>
      <w:r>
        <w:rPr>
          <w:b/>
          <w:bCs/>
        </w:rPr>
        <w:t xml:space="preserve">Date note:</w:t>
      </w:r>
      <w:r>
        <w:t xml:space="preserve"> </w:t>
      </w:r>
      <w:r>
        <w:t xml:space="preserve">The event date provided is</w:t>
      </w:r>
      <w:r>
        <w:t xml:space="preserve"> </w:t>
      </w:r>
      <w:r>
        <w:rPr>
          <w:b/>
          <w:bCs/>
        </w:rPr>
        <w:t xml:space="preserve">July 28, 2026</w:t>
      </w:r>
      <w:r>
        <w:t xml:space="preserve">, which is</w:t>
      </w:r>
      <w:r>
        <w:t xml:space="preserve"> </w:t>
      </w:r>
      <w:r>
        <w:rPr>
          <w:b/>
          <w:bCs/>
        </w:rPr>
        <w:t xml:space="preserve">today</w:t>
      </w:r>
      <w:r>
        <w:t xml:space="preserve">, not tomorrow. This preview therefore treats results as not yet released.</w:t>
      </w:r>
    </w:p>
    <w:bookmarkStart w:id="9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PACCAR enters 2Q with a clearer</w:t>
      </w:r>
      <w:r>
        <w:t xml:space="preserve"> </w:t>
      </w:r>
      <w:r>
        <w:rPr>
          <w:b/>
          <w:bCs/>
        </w:rPr>
        <w:t xml:space="preserve">sequential truck-production recovery</w:t>
      </w:r>
      <w:r>
        <w:t xml:space="preserve"> </w:t>
      </w:r>
      <w:r>
        <w:t xml:space="preserve">than it had three months ago, but also with a stock that appears to recognize much of that improvement. The core question is not simply whether PCAR beats quarterly EPS: it is whether management can validate that the recovery in North American freight, replacement demand, and the coming 2027 emissions transition is converting into a</w:t>
      </w:r>
      <w:r>
        <w:t xml:space="preserve"> </w:t>
      </w:r>
      <w:r>
        <w:rPr>
          <w:b/>
          <w:bCs/>
        </w:rPr>
        <w:t xml:space="preserve">durable 2H26 volume and margin upcycle</w:t>
      </w:r>
      <w:r>
        <w:t xml:space="preserve">.</w:t>
      </w:r>
    </w:p>
    <w:p>
      <w:pPr>
        <w:pStyle w:val="BodyText"/>
      </w:pPr>
      <w:r>
        <w:t xml:space="preserve">Management’s prior guide points to global deliveries of</w:t>
      </w:r>
      <w:r>
        <w:t xml:space="preserve"> </w:t>
      </w:r>
      <w:r>
        <w:rPr>
          <w:b/>
          <w:bCs/>
        </w:rPr>
        <w:t xml:space="preserve">37,000–38,000 trucks</w:t>
      </w:r>
      <w:r>
        <w:t xml:space="preserve">, up from</w:t>
      </w:r>
      <w:r>
        <w:t xml:space="preserve"> </w:t>
      </w:r>
      <w:r>
        <w:rPr>
          <w:b/>
          <w:bCs/>
        </w:rPr>
        <w:t xml:space="preserve">33,100 in 1Q26</w:t>
      </w:r>
      <w:r>
        <w:t xml:space="preserve">, and consolidated Truck, Parts and Other gross margin of roughly</w:t>
      </w:r>
      <w:r>
        <w:t xml:space="preserve"> </w:t>
      </w:r>
      <w:r>
        <w:rPr>
          <w:b/>
          <w:bCs/>
        </w:rPr>
        <w:t xml:space="preserve">13.5%</w:t>
      </w:r>
      <w:r>
        <w:t xml:space="preserve">, up from 13.1%. That is a favorable setup sequentially. But the guided delivery range remains below the</w:t>
      </w:r>
      <w:r>
        <w:t xml:space="preserve"> </w:t>
      </w:r>
      <w:r>
        <w:rPr>
          <w:b/>
          <w:bCs/>
        </w:rPr>
        <w:t xml:space="preserve">39,300 trucks delivered in 2Q25</w:t>
      </w:r>
      <w:r>
        <w:t xml:space="preserve">, so the year-over-year comparison still requires operating leverage, mix, pricing, and Parts resilience to do meaningful work.</w:t>
      </w:r>
    </w:p>
    <w:p>
      <w:pPr>
        <w:pStyle w:val="BodyText"/>
      </w:pPr>
      <w:r>
        <w:t xml:space="preserve">PCAR closed July 27 at</w:t>
      </w:r>
      <w:r>
        <w:t xml:space="preserve"> </w:t>
      </w:r>
      <w:r>
        <w:rPr>
          <w:b/>
          <w:bCs/>
        </w:rPr>
        <w:t xml:space="preserve">$133.47</w:t>
      </w:r>
      <w:r>
        <w:t xml:space="preserve">—up about</w:t>
      </w:r>
      <w:r>
        <w:t xml:space="preserve"> </w:t>
      </w:r>
      <w:r>
        <w:rPr>
          <w:b/>
          <w:bCs/>
        </w:rPr>
        <w:t xml:space="preserve">19.6% year to date</w:t>
      </w:r>
      <w:r>
        <w:t xml:space="preserve">, versus roughly</w:t>
      </w:r>
      <w:r>
        <w:t xml:space="preserve"> </w:t>
      </w:r>
      <w:r>
        <w:rPr>
          <w:b/>
          <w:bCs/>
        </w:rPr>
        <w:t xml:space="preserve">8.2%</w:t>
      </w:r>
      <w:r>
        <w:t xml:space="preserve"> </w:t>
      </w:r>
      <w:r>
        <w:t xml:space="preserve">for the S&amp;P 500—suggesting investors are already positioned for an improving cycle.</w:t>
      </w:r>
    </w:p>
    <w:bookmarkEnd w:id="9"/>
    <w:bookmarkStart w:id="14" w:name="what-matters-most-this-quarter"/>
    <w:p>
      <w:pPr>
        <w:pStyle w:val="Heading2"/>
      </w:pPr>
      <w:r>
        <w:t xml:space="preserve">What matters most this quarter</w:t>
      </w:r>
    </w:p>
    <w:bookmarkStart w:id="10" w:name="X2beb37bca8dfd3d3c43002613821ab595e7840d"/>
    <w:p>
      <w:pPr>
        <w:pStyle w:val="Heading3"/>
      </w:pPr>
      <w:r>
        <w:t xml:space="preserve">1. Delivery execution and the shape of the second-half ramp</w:t>
      </w:r>
    </w:p>
    <w:p>
      <w:pPr>
        <w:pStyle w:val="FirstParagraph"/>
      </w:pPr>
      <w:r>
        <w:t xml:space="preserve">PACCAR guided to</w:t>
      </w:r>
      <w:r>
        <w:t xml:space="preserve"> </w:t>
      </w:r>
      <w:r>
        <w:rPr>
          <w:b/>
          <w:bCs/>
        </w:rPr>
        <w:t xml:space="preserve">37,000–38,000</w:t>
      </w:r>
      <w:r>
        <w:t xml:space="preserve"> </w:t>
      </w:r>
      <w:r>
        <w:t xml:space="preserve">global deliveries for 2Q26, representing a roughly</w:t>
      </w:r>
      <w:r>
        <w:t xml:space="preserve"> </w:t>
      </w:r>
      <w:r>
        <w:rPr>
          <w:b/>
          <w:bCs/>
        </w:rPr>
        <w:t xml:space="preserve">12%–15% sequential increase</w:t>
      </w:r>
      <w:r>
        <w:t xml:space="preserve"> </w:t>
      </w:r>
      <w:r>
        <w:t xml:space="preserve">from 1Q. The volume step-up is the central near-term earnings driver: management said factories had already increased build rates and that 2Q was full, with a majority of 3Q and 4Q capacity spoken for.</w:t>
      </w:r>
    </w:p>
    <w:p>
      <w:pPr>
        <w:pStyle w:val="BodyText"/>
      </w:pPr>
      <w:r>
        <w:t xml:space="preserve">The market will focus less on the reported 2Q number than on whether management confirms:</w:t>
      </w:r>
    </w:p>
    <w:p>
      <w:pPr>
        <w:pStyle w:val="Compact"/>
        <w:numPr>
          <w:ilvl w:val="0"/>
          <w:numId w:val="1001"/>
        </w:numPr>
      </w:pPr>
      <w:r>
        <w:t xml:space="preserve">production increases can continue through 2H26;</w:t>
      </w:r>
    </w:p>
    <w:p>
      <w:pPr>
        <w:pStyle w:val="Compact"/>
        <w:numPr>
          <w:ilvl w:val="0"/>
          <w:numId w:val="1001"/>
        </w:numPr>
      </w:pPr>
      <w:r>
        <w:t xml:space="preserve">the supply base can support the ramp without meaningful component or labor constraints;</w:t>
      </w:r>
    </w:p>
    <w:p>
      <w:pPr>
        <w:pStyle w:val="Compact"/>
        <w:numPr>
          <w:ilvl w:val="0"/>
          <w:numId w:val="1001"/>
        </w:numPr>
      </w:pPr>
      <w:r>
        <w:t xml:space="preserve">order activity is translating into actual builds rather than merely inflated order-book activity; and</w:t>
      </w:r>
    </w:p>
    <w:p>
      <w:pPr>
        <w:pStyle w:val="Compact"/>
        <w:numPr>
          <w:ilvl w:val="0"/>
          <w:numId w:val="1001"/>
        </w:numPr>
      </w:pPr>
      <w:r>
        <w:t xml:space="preserve">2027 demand is a healthy combination of replacement demand and prebuy, rather than a temporary pull-forward.</w:t>
      </w:r>
    </w:p>
    <w:p>
      <w:pPr>
        <w:pStyle w:val="FirstParagraph"/>
      </w:pPr>
      <w:r>
        <w:t xml:space="preserve">At the 1Q call, management characterized the second half as relatively balanced between 3Q and 4Q—an encouraging sign that demand is not solely concentrated in a late-year emissions-driven prebuy.</w:t>
      </w:r>
    </w:p>
    <w:p>
      <w:pPr>
        <w:pStyle w:val="BodyText"/>
      </w:pPr>
      <w:r>
        <w:rPr>
          <w:b/>
          <w:bCs/>
        </w:rPr>
        <w:t xml:space="preserve">Why it matters:</w:t>
      </w:r>
      <w:r>
        <w:t xml:space="preserve"> </w:t>
      </w:r>
      <w:r>
        <w:t xml:space="preserve">A firm outlook for build rates and backlog conversion would support the idea that 2026 is moving from a trough toward a recovery. Caution around supply, fleet economics, or order conversion would challenge that thesis quickly.</w:t>
      </w:r>
    </w:p>
    <w:p>
      <w:r>
        <w:pict>
          <v:rect style="width:0;height:1.5pt" o:hralign="center" o:hrstd="t" o:hr="t"/>
        </w:pict>
      </w:r>
    </w:p>
    <w:bookmarkEnd w:id="10"/>
    <w:bookmarkStart w:id="11" w:name="Xf8988562e09d1a0c2ddb7d9d6ee7594f311808b"/>
    <w:p>
      <w:pPr>
        <w:pStyle w:val="Heading3"/>
      </w:pPr>
      <w:r>
        <w:t xml:space="preserve">2. Truck margin recovery: volume is improving, but pricing remains competitive</w:t>
      </w:r>
    </w:p>
    <w:p>
      <w:pPr>
        <w:pStyle w:val="FirstParagraph"/>
      </w:pPr>
      <w:r>
        <w:t xml:space="preserve">The most important profitability datapoint will be the ability to deliver the guided</w:t>
      </w:r>
      <w:r>
        <w:t xml:space="preserve"> </w:t>
      </w:r>
      <w:r>
        <w:rPr>
          <w:b/>
          <w:bCs/>
        </w:rPr>
        <w:t xml:space="preserve">~13.5% consolidated Truck, Parts and Other gross margin</w:t>
      </w:r>
      <w:r>
        <w:t xml:space="preserve">. That would be a 40-basis-point sequential improvement from 1Q26.</w:t>
      </w:r>
    </w:p>
    <w:p>
      <w:pPr>
        <w:pStyle w:val="BodyText"/>
      </w:pPr>
      <w:r>
        <w:t xml:space="preserve">In 1Q, PACCAR’s Truck business produced a</w:t>
      </w:r>
      <w:r>
        <w:t xml:space="preserve"> </w:t>
      </w:r>
      <w:r>
        <w:rPr>
          <w:b/>
          <w:bCs/>
        </w:rPr>
        <w:t xml:space="preserve">7.0% gross margin</w:t>
      </w:r>
      <w:r>
        <w:t xml:space="preserve">, down from 9.7% a year earlier. Higher tariff, labor, material, and truck-content costs outweighed pricing, while lower delivery volume pressured fixed-cost absorption. Management nevertheless described 1Q as a “clean quarter” operationally and cited favorable sequential price-cost, favorable North American mix, and higher build share.</w:t>
      </w:r>
    </w:p>
    <w:p>
      <w:pPr>
        <w:pStyle w:val="BodyText"/>
      </w:pPr>
      <w:r>
        <w:t xml:space="preserve">For 2Q, investors should listen for the balance among: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incremental volume absorption</w:t>
      </w:r>
      <w:r>
        <w:t xml:space="preserve"> </w:t>
      </w:r>
      <w:r>
        <w:t xml:space="preserve">from the delivery ramp;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price-cost realization</w:t>
      </w:r>
      <w:r>
        <w:t xml:space="preserve">, especially given materials and energy volatility;</w:t>
      </w:r>
    </w:p>
    <w:p>
      <w:pPr>
        <w:pStyle w:val="Compact"/>
        <w:numPr>
          <w:ilvl w:val="0"/>
          <w:numId w:val="1002"/>
        </w:numPr>
      </w:pPr>
      <w:r>
        <w:t xml:space="preserve">the extent of tariff-related cost pressure and any recovery of prior payments;</w:t>
      </w:r>
    </w:p>
    <w:p>
      <w:pPr>
        <w:pStyle w:val="Compact"/>
        <w:numPr>
          <w:ilvl w:val="0"/>
          <w:numId w:val="1002"/>
        </w:numPr>
      </w:pPr>
      <w:r>
        <w:t xml:space="preserve">North American versus European mix; and</w:t>
      </w:r>
    </w:p>
    <w:p>
      <w:pPr>
        <w:pStyle w:val="Compact"/>
        <w:numPr>
          <w:ilvl w:val="0"/>
          <w:numId w:val="1002"/>
        </w:numPr>
      </w:pPr>
      <w:r>
        <w:t xml:space="preserve">the degree to which competitive pricing is limiting margin conversion.</w:t>
      </w:r>
    </w:p>
    <w:p>
      <w:pPr>
        <w:pStyle w:val="FirstParagraph"/>
      </w:pPr>
      <w:r>
        <w:t xml:space="preserve">The setup is constructive but not unambiguously so. Management has said pricing remains competitive, and it expects higher truck volume to dilute the company-wide mix relative to the very profitable Parts segment. Thus, a delivery beat without stronger margin commentary may not be enough for a positive stock reaction.</w:t>
      </w:r>
    </w:p>
    <w:p>
      <w:r>
        <w:pict>
          <v:rect style="width:0;height:1.5pt" o:hralign="center" o:hrstd="t" o:hr="t"/>
        </w:pict>
      </w:r>
    </w:p>
    <w:bookmarkEnd w:id="11"/>
    <w:bookmarkStart w:id="12" w:name="Xce09c0b58da60d60d1a3c9385a8e02ff18db457"/>
    <w:p>
      <w:pPr>
        <w:pStyle w:val="Heading3"/>
      </w:pPr>
      <w:r>
        <w:t xml:space="preserve">3. PACCAR Parts remains the stabilizer—but it needs to reaccelerate</w:t>
      </w:r>
    </w:p>
    <w:p>
      <w:pPr>
        <w:pStyle w:val="FirstParagraph"/>
      </w:pPr>
      <w:r>
        <w:t xml:space="preserve">Parts is PACCAR’s most valuable earnings stabilizer, with a much higher profit rate than the Truck segment. In 1Q26, Parts revenue was</w:t>
      </w:r>
      <w:r>
        <w:t xml:space="preserve"> </w:t>
      </w:r>
      <m:oMath>
        <m:r>
          <m:t>1.71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n</m:t>
        </m:r>
        <m:r>
          <m:t>d</m:t>
        </m:r>
        <m:r>
          <m:t>p</m:t>
        </m:r>
        <m:r>
          <m:t>r</m:t>
        </m:r>
        <m:r>
          <m:t>e</m:t>
        </m:r>
        <m:r>
          <m:t>t</m:t>
        </m:r>
        <m:r>
          <m:t>a</m:t>
        </m:r>
        <m:r>
          <m:t>x</m:t>
        </m:r>
        <m:r>
          <m:t>i</m:t>
        </m:r>
        <m:r>
          <m:t>n</m:t>
        </m:r>
        <m:r>
          <m:t>c</m:t>
        </m:r>
        <m:r>
          <m:t>o</m:t>
        </m:r>
        <m:r>
          <m:t>m</m:t>
        </m:r>
        <m:r>
          <m:t>e</m:t>
        </m:r>
        <m:r>
          <m:t>w</m:t>
        </m:r>
        <m:r>
          <m:t>a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402 million</w:t>
      </w:r>
      <w:r>
        <w:t xml:space="preserve">, for a</w:t>
      </w:r>
      <w:r>
        <w:t xml:space="preserve"> </w:t>
      </w:r>
      <w:r>
        <w:rPr>
          <w:b/>
          <w:bCs/>
        </w:rPr>
        <w:t xml:space="preserve">23.5% pretax margin</w:t>
      </w:r>
      <w:r>
        <w:t xml:space="preserve">. The issue was not revenue resilience so much as margin pressure: gross margin fell to</w:t>
      </w:r>
      <w:r>
        <w:t xml:space="preserve"> </w:t>
      </w:r>
      <w:r>
        <w:rPr>
          <w:b/>
          <w:bCs/>
        </w:rPr>
        <w:t xml:space="preserve">29.6%</w:t>
      </w:r>
      <w:r>
        <w:t xml:space="preserve"> </w:t>
      </w:r>
      <w:r>
        <w:t xml:space="preserve">from 30.7% a year earlier amid softer North American volume, a less favorable direct-ship mix, higher material costs, and tariffs.</w:t>
      </w:r>
    </w:p>
    <w:p>
      <w:pPr>
        <w:pStyle w:val="BodyText"/>
      </w:pPr>
      <w:r>
        <w:t xml:space="preserve">Management’s 2Q framework called for approximately</w:t>
      </w:r>
      <w:r>
        <w:t xml:space="preserve"> </w:t>
      </w:r>
      <w:r>
        <w:rPr>
          <w:b/>
          <w:bCs/>
        </w:rPr>
        <w:t xml:space="preserve">3% Parts sales growth sequentially</w:t>
      </w:r>
      <w:r>
        <w:t xml:space="preserve">, and its full-year outlook remains</w:t>
      </w:r>
      <w:r>
        <w:t xml:space="preserve"> </w:t>
      </w:r>
      <w:r>
        <w:rPr>
          <w:b/>
          <w:bCs/>
        </w:rPr>
        <w:t xml:space="preserve">3%–6% growth</w:t>
      </w:r>
      <w:r>
        <w:t xml:space="preserve">.</w:t>
      </w:r>
    </w:p>
    <w:p>
      <w:pPr>
        <w:pStyle w:val="BodyText"/>
      </w:pPr>
      <w:r>
        <w:t xml:space="preserve">Key questions:</w:t>
      </w:r>
    </w:p>
    <w:p>
      <w:pPr>
        <w:pStyle w:val="Compact"/>
        <w:numPr>
          <w:ilvl w:val="0"/>
          <w:numId w:val="1003"/>
        </w:numPr>
      </w:pPr>
      <w:r>
        <w:t xml:space="preserve">Did optional maintenance spending improve as freight rates and fleet profitability recovered?</w:t>
      </w:r>
    </w:p>
    <w:p>
      <w:pPr>
        <w:pStyle w:val="Compact"/>
        <w:numPr>
          <w:ilvl w:val="0"/>
          <w:numId w:val="1003"/>
        </w:numPr>
      </w:pPr>
      <w:r>
        <w:t xml:space="preserve">Is North American Parts demand finally improving, rather than relying on European currency translation?</w:t>
      </w:r>
    </w:p>
    <w:p>
      <w:pPr>
        <w:pStyle w:val="Compact"/>
        <w:numPr>
          <w:ilvl w:val="0"/>
          <w:numId w:val="1003"/>
        </w:numPr>
      </w:pPr>
      <w:r>
        <w:t xml:space="preserve">Can Parts margins stabilize or recover despite tariffs and input costs?</w:t>
      </w:r>
    </w:p>
    <w:p>
      <w:pPr>
        <w:pStyle w:val="Compact"/>
        <w:numPr>
          <w:ilvl w:val="0"/>
          <w:numId w:val="1003"/>
        </w:numPr>
      </w:pPr>
      <w:r>
        <w:t xml:space="preserve">Does management maintain its 3%–6% full-year growth outlook?</w:t>
      </w:r>
    </w:p>
    <w:p>
      <w:pPr>
        <w:pStyle w:val="FirstParagraph"/>
      </w:pPr>
      <w:r>
        <w:t xml:space="preserve">A sustained Parts reacceleration would improve the quality of the recovery, since it would signal healthier fleet utilization and maintenance behavior—not just factory throughput.</w:t>
      </w:r>
    </w:p>
    <w:p>
      <w:r>
        <w:pict>
          <v:rect style="width:0;height:1.5pt" o:hralign="center" o:hrstd="t" o:hr="t"/>
        </w:pict>
      </w:r>
    </w:p>
    <w:bookmarkEnd w:id="12"/>
    <w:bookmarkStart w:id="13" w:name="X9ed85ac9bff95c519e43f2b8a2f4c80cb3dbed4"/>
    <w:p>
      <w:pPr>
        <w:pStyle w:val="Heading3"/>
      </w:pPr>
      <w:r>
        <w:t xml:space="preserve">4. PACCAR Financial: the overlooked swing factor</w:t>
      </w:r>
    </w:p>
    <w:p>
      <w:pPr>
        <w:pStyle w:val="FirstParagraph"/>
      </w:pPr>
      <w:r>
        <w:t xml:space="preserve">PACCAR Financial Services is profitable and strategically important, but its 1Q credit metrics warrant close attention. In 1Q26:</w:t>
      </w:r>
    </w:p>
    <w:p>
      <w:pPr>
        <w:pStyle w:val="Compact"/>
        <w:numPr>
          <w:ilvl w:val="0"/>
          <w:numId w:val="1004"/>
        </w:numPr>
      </w:pPr>
      <w:r>
        <w:t xml:space="preserve">pretax profit declined to</w:t>
      </w:r>
      <w:r>
        <w:t xml:space="preserve"> </w:t>
      </w:r>
      <w:r>
        <w:rPr>
          <w:b/>
          <w:bCs/>
        </w:rPr>
        <w:t xml:space="preserve">$115.5 million</w:t>
      </w:r>
      <w:r>
        <w:t xml:space="preserve"> </w:t>
      </w:r>
      <w:r>
        <w:t xml:space="preserve">from $121.1 million a year earlier;</w:t>
      </w:r>
    </w:p>
    <w:p>
      <w:pPr>
        <w:pStyle w:val="Compact"/>
        <w:numPr>
          <w:ilvl w:val="0"/>
          <w:numId w:val="1004"/>
        </w:numPr>
      </w:pPr>
      <w:r>
        <w:t xml:space="preserve">provision for credit losses increased to</w:t>
      </w:r>
      <w:r>
        <w:t xml:space="preserve"> </w:t>
      </w:r>
      <w:r>
        <w:rPr>
          <w:b/>
          <w:bCs/>
        </w:rPr>
        <w:t xml:space="preserve">$44.1 million</w:t>
      </w:r>
      <w:r>
        <w:t xml:space="preserve"> </w:t>
      </w:r>
      <w:r>
        <w:t xml:space="preserve">from $18.3 million;</w:t>
      </w:r>
    </w:p>
    <w:p>
      <w:pPr>
        <w:pStyle w:val="Compact"/>
        <w:numPr>
          <w:ilvl w:val="0"/>
          <w:numId w:val="1004"/>
        </w:numPr>
      </w:pPr>
      <w:r>
        <w:t xml:space="preserve">net charge-offs rose to</w:t>
      </w:r>
      <w:r>
        <w:t xml:space="preserve"> </w:t>
      </w:r>
      <w:r>
        <w:rPr>
          <w:b/>
          <w:bCs/>
        </w:rPr>
        <w:t xml:space="preserve">$43.1 million</w:t>
      </w:r>
      <w:r>
        <w:t xml:space="preserve"> </w:t>
      </w:r>
      <w:r>
        <w:t xml:space="preserve">from $21.0 million;</w:t>
      </w:r>
    </w:p>
    <w:p>
      <w:pPr>
        <w:pStyle w:val="Compact"/>
        <w:numPr>
          <w:ilvl w:val="0"/>
          <w:numId w:val="1004"/>
        </w:numPr>
      </w:pPr>
      <w:r>
        <w:t xml:space="preserve">worldwide accounts 30+ days past due were</w:t>
      </w:r>
      <w:r>
        <w:t xml:space="preserve"> </w:t>
      </w:r>
      <w:r>
        <w:rPr>
          <w:b/>
          <w:bCs/>
        </w:rPr>
        <w:t xml:space="preserve">2.4%</w:t>
      </w:r>
      <w:r>
        <w:t xml:space="preserve">, versus 1.2% a year earlier; and</w:t>
      </w:r>
    </w:p>
    <w:p>
      <w:pPr>
        <w:pStyle w:val="Compact"/>
        <w:numPr>
          <w:ilvl w:val="0"/>
          <w:numId w:val="1004"/>
        </w:numPr>
      </w:pPr>
      <w:r>
        <w:t xml:space="preserve">total modification activity rose to</w:t>
      </w:r>
      <w:r>
        <w:t xml:space="preserve"> </w:t>
      </w:r>
      <w:r>
        <w:rPr>
          <w:b/>
          <w:bCs/>
        </w:rPr>
        <w:t xml:space="preserve">$407.8 million</w:t>
      </w:r>
      <w:r>
        <w:t xml:space="preserve">, from $187.4 million, including more accounts modified for customers experiencing financial difficulty.</w:t>
      </w:r>
    </w:p>
    <w:p>
      <w:pPr>
        <w:pStyle w:val="FirstParagraph"/>
      </w:pPr>
      <w:r>
        <w:t xml:space="preserve">Management attributed the pressure to soft freight conditions in North America and weaker conditions/elevated rates in Brazil, while also noting that used-truck conditions had begun to improve.</w:t>
      </w:r>
    </w:p>
    <w:p>
      <w:pPr>
        <w:pStyle w:val="BodyText"/>
      </w:pPr>
      <w:r>
        <w:t xml:space="preserve">This quarter should clarify whether 1Q was near a credit-cost peak. Investors should watch:</w:t>
      </w:r>
    </w:p>
    <w:p>
      <w:pPr>
        <w:pStyle w:val="Compact"/>
        <w:numPr>
          <w:ilvl w:val="0"/>
          <w:numId w:val="1005"/>
        </w:numPr>
      </w:pPr>
      <w:r>
        <w:t xml:space="preserve">provisions and charge-offs;</w:t>
      </w:r>
    </w:p>
    <w:p>
      <w:pPr>
        <w:pStyle w:val="Compact"/>
        <w:numPr>
          <w:ilvl w:val="0"/>
          <w:numId w:val="1005"/>
        </w:numPr>
      </w:pPr>
      <w:r>
        <w:t xml:space="preserve">past-due and non-accrual balances;</w:t>
      </w:r>
    </w:p>
    <w:p>
      <w:pPr>
        <w:pStyle w:val="Compact"/>
        <w:numPr>
          <w:ilvl w:val="0"/>
          <w:numId w:val="1005"/>
        </w:numPr>
      </w:pPr>
      <w:r>
        <w:t xml:space="preserve">used-truck values, utilization, and residual-value performance;</w:t>
      </w:r>
    </w:p>
    <w:p>
      <w:pPr>
        <w:pStyle w:val="Compact"/>
        <w:numPr>
          <w:ilvl w:val="0"/>
          <w:numId w:val="1005"/>
        </w:numPr>
      </w:pPr>
      <w:r>
        <w:t xml:space="preserve">trends in Brazil and North America; and</w:t>
      </w:r>
    </w:p>
    <w:p>
      <w:pPr>
        <w:pStyle w:val="Compact"/>
        <w:numPr>
          <w:ilvl w:val="0"/>
          <w:numId w:val="1005"/>
        </w:numPr>
      </w:pPr>
      <w:r>
        <w:t xml:space="preserve">whether improving freight conditions reduce the need for customer payment modifications.</w:t>
      </w:r>
    </w:p>
    <w:p>
      <w:pPr>
        <w:pStyle w:val="FirstParagraph"/>
      </w:pPr>
      <w:r>
        <w:t xml:space="preserve">A better-than-feared credit outcome could add upside to earnings quality; a further deterioration could offset improvement in Trucks.</w:t>
      </w:r>
    </w:p>
    <w:bookmarkEnd w:id="13"/>
    <w:bookmarkEnd w:id="14"/>
    <w:bookmarkStart w:id="15" w:name="quarterly-frame-of-reference"/>
    <w:p>
      <w:pPr>
        <w:pStyle w:val="Heading2"/>
      </w:pPr>
      <w:r>
        <w:t xml:space="preserve">Quarterly frame of reference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1Q26 actual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2Q26 management framework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2Q25 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Global truck deliveries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33,100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37,000–38,000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39,300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Consolidated 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$6.78B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Not quantified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$7.51B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$1.15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Not quantified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$1.37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Parts 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$1.71B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~3% sequential growth indicated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$1.72B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Parts pretax profit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$402M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Watch margin and volume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$417M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Financial Services pretax profit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$116M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Watch provisions/credit quality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$123M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Truck, Parts &amp; Other gross margin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13.1%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~13.5%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N/A</w:t>
            </w:r>
          </w:p>
        </w:tc>
      </w:tr>
    </w:tbl>
    <w:bookmarkEnd w:id="15"/>
    <w:bookmarkStart w:id="16" w:name="bull-case-into-earnings"/>
    <w:p>
      <w:pPr>
        <w:pStyle w:val="Heading2"/>
      </w:pPr>
      <w:r>
        <w:t xml:space="preserve">Bull case into earnings</w:t>
      </w:r>
    </w:p>
    <w:p>
      <w:pPr>
        <w:pStyle w:val="FirstParagraph"/>
      </w:pPr>
      <w:r>
        <w:t xml:space="preserve">A constructive outcome would include:</w:t>
      </w:r>
    </w:p>
    <w:p>
      <w:pPr>
        <w:pStyle w:val="Compact"/>
        <w:numPr>
          <w:ilvl w:val="0"/>
          <w:numId w:val="1006"/>
        </w:numPr>
      </w:pPr>
      <w:r>
        <w:t xml:space="preserve">Deliveries at or above the high end of the</w:t>
      </w:r>
      <w:r>
        <w:t xml:space="preserve"> </w:t>
      </w:r>
      <w:r>
        <w:rPr>
          <w:b/>
          <w:bCs/>
        </w:rPr>
        <w:t xml:space="preserve">37,000–38,000</w:t>
      </w:r>
      <w:r>
        <w:t xml:space="preserve"> </w:t>
      </w:r>
      <w:r>
        <w:t xml:space="preserve">guide.</w:t>
      </w:r>
    </w:p>
    <w:p>
      <w:pPr>
        <w:pStyle w:val="Compact"/>
        <w:numPr>
          <w:ilvl w:val="0"/>
          <w:numId w:val="1006"/>
        </w:numPr>
      </w:pPr>
      <w:r>
        <w:t xml:space="preserve">Gross margin at or above</w:t>
      </w:r>
      <w:r>
        <w:t xml:space="preserve"> </w:t>
      </w:r>
      <w:r>
        <w:rPr>
          <w:b/>
          <w:bCs/>
        </w:rPr>
        <w:t xml:space="preserve">13.5%</w:t>
      </w:r>
      <w:r>
        <w:t xml:space="preserve">, showing volume leverage is overcoming competitive pricing and input costs.</w:t>
      </w:r>
    </w:p>
    <w:p>
      <w:pPr>
        <w:pStyle w:val="Compact"/>
        <w:numPr>
          <w:ilvl w:val="0"/>
          <w:numId w:val="1006"/>
        </w:numPr>
      </w:pPr>
      <w:r>
        <w:t xml:space="preserve">Parts growth and margin stabilization, especially in North America.</w:t>
      </w:r>
    </w:p>
    <w:p>
      <w:pPr>
        <w:pStyle w:val="Compact"/>
        <w:numPr>
          <w:ilvl w:val="0"/>
          <w:numId w:val="1006"/>
        </w:numPr>
      </w:pPr>
      <w:r>
        <w:t xml:space="preserve">Evidence that used-truck values, freight conditions, and credit costs are improving.</w:t>
      </w:r>
    </w:p>
    <w:p>
      <w:pPr>
        <w:pStyle w:val="Compact"/>
        <w:numPr>
          <w:ilvl w:val="0"/>
          <w:numId w:val="1006"/>
        </w:numPr>
      </w:pPr>
      <w:r>
        <w:t xml:space="preserve">Maintained or improved 2026 market outlooks—particularly U.S./Canada Class 8 retail sales of</w:t>
      </w:r>
      <w:r>
        <w:t xml:space="preserve"> </w:t>
      </w:r>
      <w:r>
        <w:rPr>
          <w:b/>
          <w:bCs/>
        </w:rPr>
        <w:t xml:space="preserve">230,000–270,000 units</w:t>
      </w:r>
      <w:r>
        <w:t xml:space="preserve">—plus confident commentary on 2H capacity and 2027 emissions-related demand.</w:t>
      </w:r>
    </w:p>
    <w:bookmarkEnd w:id="16"/>
    <w:bookmarkStart w:id="17" w:name="bear-case-into-earnings"/>
    <w:p>
      <w:pPr>
        <w:pStyle w:val="Heading2"/>
      </w:pPr>
      <w:r>
        <w:t xml:space="preserve">Bear case into earnings</w:t>
      </w:r>
    </w:p>
    <w:p>
      <w:pPr>
        <w:pStyle w:val="FirstParagraph"/>
      </w:pPr>
      <w:r>
        <w:t xml:space="preserve">The downside setup is straightforward:</w:t>
      </w:r>
    </w:p>
    <w:p>
      <w:pPr>
        <w:pStyle w:val="Compact"/>
        <w:numPr>
          <w:ilvl w:val="0"/>
          <w:numId w:val="1007"/>
        </w:numPr>
      </w:pPr>
      <w:r>
        <w:t xml:space="preserve">Deliveries reach the guided range but margin misses because tariffs, raw materials, or pricing pressure absorb the volume benefit.</w:t>
      </w:r>
    </w:p>
    <w:p>
      <w:pPr>
        <w:pStyle w:val="Compact"/>
        <w:numPr>
          <w:ilvl w:val="0"/>
          <w:numId w:val="1007"/>
        </w:numPr>
      </w:pPr>
      <w:r>
        <w:t xml:space="preserve">Management tempers its 2H build-rate outlook due to supplier capacity, fleet profitability, or weaker demand conversion.</w:t>
      </w:r>
    </w:p>
    <w:p>
      <w:pPr>
        <w:pStyle w:val="Compact"/>
        <w:numPr>
          <w:ilvl w:val="0"/>
          <w:numId w:val="1007"/>
        </w:numPr>
      </w:pPr>
      <w:r>
        <w:t xml:space="preserve">Parts remains soft in North America, limiting the earnings buffer.</w:t>
      </w:r>
    </w:p>
    <w:p>
      <w:pPr>
        <w:pStyle w:val="Compact"/>
        <w:numPr>
          <w:ilvl w:val="0"/>
          <w:numId w:val="1007"/>
        </w:numPr>
      </w:pPr>
      <w:r>
        <w:t xml:space="preserve">Credit provisions, modifications, repossessions, or used-truck losses worsen further.</w:t>
      </w:r>
    </w:p>
    <w:p>
      <w:pPr>
        <w:pStyle w:val="Compact"/>
        <w:numPr>
          <w:ilvl w:val="0"/>
          <w:numId w:val="1007"/>
        </w:numPr>
      </w:pPr>
      <w:r>
        <w:t xml:space="preserve">Management frames 2027 demand predominantly as a prebuy, implying a more difficult post-emissions-reset market.</w:t>
      </w:r>
    </w:p>
    <w:bookmarkEnd w:id="17"/>
    <w:bookmarkStart w:id="18" w:name="investor-takeaway"/>
    <w:p>
      <w:pPr>
        <w:pStyle w:val="Heading2"/>
      </w:pPr>
      <w:r>
        <w:t xml:space="preserve">Investor takeaway</w:t>
      </w:r>
    </w:p>
    <w:p>
      <w:pPr>
        <w:pStyle w:val="FirstParagraph"/>
      </w:pPr>
      <w:r>
        <w:t xml:space="preserve">PCAR’s 2Q report is principally a test of</w:t>
      </w:r>
      <w:r>
        <w:t xml:space="preserve"> </w:t>
      </w:r>
      <w:r>
        <w:rPr>
          <w:b/>
          <w:bCs/>
        </w:rPr>
        <w:t xml:space="preserve">earnings-quality inflection</w:t>
      </w:r>
      <w:r>
        <w:t xml:space="preserve">. The company has already guided to a meaningful sequential volume recovery, so investors will likely reward evidence that the higher build rate produces better margins, healthier Parts demand, and contained credit losses—not merely higher revenue.</w:t>
      </w:r>
    </w:p>
    <w:p>
      <w:pPr>
        <w:pStyle w:val="BodyText"/>
      </w:pPr>
      <w:r>
        <w:t xml:space="preserve">The most important call takeaway will be management’s confidence in the</w:t>
      </w:r>
      <w:r>
        <w:t xml:space="preserve"> </w:t>
      </w:r>
      <w:r>
        <w:rPr>
          <w:b/>
          <w:bCs/>
        </w:rPr>
        <w:t xml:space="preserve">2H26 production cadence and margin trajectory</w:t>
      </w:r>
      <w:r>
        <w:t xml:space="preserve">. If PACCAR can demonstrate improving truck profitability while preserving the resilience of Parts and showing that Financial Services credit pressure is contained, the case for a sustained cycle recovery strengthens materially. If not, the current share-price strength leaves less room for execution disappointment.</w:t>
      </w:r>
    </w:p>
    <w:p>
      <w:pPr>
        <w:pStyle w:val="BodyText"/>
      </w:pPr>
      <w:r>
        <w:rPr>
          <w:i/>
          <w:iCs/>
        </w:rPr>
        <w:t xml:space="preserve">Primary sources reviewed: PACCAR 1Q26 earnings release, 1Q26 Form 10-Q, 1Q26 earnings-call transcript, and 2Q25 earnings release; PCAR and SPY historical price data through July 27, 2026.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2026-07-28T00:57:21Z</dcterms:created>
  <dcterms:modified xsi:type="dcterms:W3CDTF">2026-07-28T00:57:21Z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