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PACCAR Inc. (PCAR) — Q2 2026 Earnings Preview</w:t>
      </w:r>
    </w:p>
    <w:p>
      <w:r>
        <w:rPr>
          <w:rFonts w:ascii="Calibri" w:hAnsi="Calibri"/>
          <w:b/>
          <w:color w:val="525866"/>
          <w:sz w:val="22"/>
        </w:rPr>
        <w:t xml:space="preserve">Ticker: </w:t>
      </w:r>
      <w:r>
        <w:rPr>
          <w:rFonts w:ascii="Calibri" w:hAnsi="Calibri"/>
          <w:color w:val="525866"/>
          <w:sz w:val="22"/>
        </w:rPr>
        <w:t xml:space="preserve">PCAR  </w:t>
      </w:r>
      <w:r>
        <w:rPr>
          <w:rFonts w:ascii="Calibri" w:hAnsi="Calibri"/>
          <w:b/>
          <w:color w:val="525866"/>
          <w:sz w:val="22"/>
        </w:rPr>
        <w:t xml:space="preserve">  |  Upcoming Earnings: </w:t>
      </w:r>
      <w:r>
        <w:rPr>
          <w:rFonts w:ascii="Calibri" w:hAnsi="Calibri"/>
          <w:color w:val="525866"/>
          <w:sz w:val="22"/>
        </w:rPr>
        <w:t xml:space="preserve">Q2 2026 (expected late July 2026)  </w:t>
      </w:r>
      <w:r>
        <w:rPr>
          <w:rFonts w:ascii="Calibri" w:hAnsi="Calibri"/>
          <w:b/>
          <w:color w:val="525866"/>
          <w:sz w:val="22"/>
        </w:rPr>
        <w:t xml:space="preserve">  |  Last Earnings: </w:t>
      </w:r>
      <w:r>
        <w:rPr>
          <w:rFonts w:ascii="Calibri" w:hAnsi="Calibri"/>
          <w:color w:val="525866"/>
          <w:sz w:val="22"/>
        </w:rPr>
        <w:t xml:space="preserve">April 28, 2026 (Q1 2026)  </w:t>
      </w:r>
      <w:r>
        <w:rPr>
          <w:rFonts w:ascii="Calibri" w:hAnsi="Calibri"/>
          <w:b/>
          <w:color w:val="525866"/>
          <w:sz w:val="22"/>
        </w:rPr>
        <w:t xml:space="preserve">  |  Prepared: </w:t>
      </w:r>
      <w:r>
        <w:rPr>
          <w:rFonts w:ascii="Calibri" w:hAnsi="Calibri"/>
          <w:color w:val="525866"/>
          <w:sz w:val="22"/>
        </w:rPr>
        <w:t>July 27,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just above management's guided margin range and volume is tracking to the high end of guidance, but the bar is not demanding; the biggest swing factor is whether </w:t>
      </w:r>
      <w:r>
        <w:rPr>
          <w:rFonts w:ascii="Calibri" w:hAnsi="Calibri"/>
          <w:b/>
          <w:color w:val="525866"/>
          <w:sz w:val="22"/>
        </w:rPr>
        <w:t>truck gross margins can clear the ~13.5% guided level</w:t>
      </w:r>
      <w:r>
        <w:rPr>
          <w:rFonts w:ascii="Calibri" w:hAnsi="Calibri"/>
          <w:color w:val="525866"/>
          <w:sz w:val="22"/>
        </w:rPr>
        <w:t xml:space="preserve"> as volumes ramp and tariff credits begin to flow.</w:t>
      </w:r>
    </w:p>
    <w:p>
      <w:r>
        <w:rPr>
          <w:rFonts w:ascii="Calibri" w:hAnsi="Calibri"/>
          <w:color w:val="525866"/>
          <w:sz w:val="22"/>
        </w:rPr>
        <w:t xml:space="preserve">Heading into Q2 2026, the consensus bar looks achievable but not easy: the Street is modeling </w:t>
      </w:r>
      <w:r>
        <w:rPr>
          <w:rFonts w:ascii="Calibri" w:hAnsi="Calibri"/>
          <w:b/>
          <w:color w:val="525866"/>
          <w:sz w:val="22"/>
        </w:rPr>
        <w:t>$7.56B in total revenue</w:t>
      </w:r>
      <w:r>
        <w:rPr>
          <w:rFonts w:ascii="Calibri" w:hAnsi="Calibri"/>
          <w:color w:val="525866"/>
          <w:sz w:val="22"/>
        </w:rPr>
        <w:t xml:space="preserve"> (+0.5% vs. the as-of-May-5 baseline) and </w:t>
      </w:r>
      <w:r>
        <w:rPr>
          <w:rFonts w:ascii="Calibri" w:hAnsi="Calibri"/>
          <w:b/>
          <w:color w:val="525866"/>
          <w:sz w:val="22"/>
        </w:rPr>
        <w:t>diluted operating EPS of $1.34</w:t>
      </w:r>
      <w:r>
        <w:rPr>
          <w:rFonts w:ascii="Calibri" w:hAnsi="Calibri"/>
          <w:color w:val="525866"/>
          <w:sz w:val="22"/>
        </w:rPr>
        <w:t xml:space="preserve">, both modestly above where estimates stood immediately after the Q1 print, suggesting the market has already priced in the guided volume ramp from 33,100 to 37,000–38,000 deliveries. Management's tone on the Q1 call was notably confident — CEO Preston Feight called Q4 2025 the trough, guided truck/parts/other gross margins to </w:t>
      </w:r>
      <w:r>
        <w:rPr>
          <w:rFonts w:ascii="Calibri" w:hAnsi="Calibri"/>
          <w:b/>
          <w:color w:val="525866"/>
          <w:sz w:val="22"/>
        </w:rPr>
        <w:t>~13.5% in Q2</w:t>
      </w:r>
      <w:r>
        <w:rPr>
          <w:rFonts w:ascii="Calibri" w:hAnsi="Calibri"/>
          <w:color w:val="525866"/>
          <w:sz w:val="22"/>
        </w:rPr>
        <w:t xml:space="preserve"> (up from 13.1% in Q1), and characterized order books as full in Q2 and majority-full in Q3/Q4, with demand balanced between genuine replacement buying and EPA 2027 pre-buy. Estimate revisions have drifted slightly higher since the Q1 print, consistent with guidance, leaving little gap between the two — a neutral signal rather than a clear cushion or risk. The stock has </w:t>
      </w:r>
      <w:r>
        <w:rPr>
          <w:rFonts w:ascii="Calibri" w:hAnsi="Calibri"/>
          <w:b/>
          <w:color w:val="525866"/>
          <w:sz w:val="22"/>
        </w:rPr>
        <w:t>outperformed meaningfully since Q1 earnings (+11.6% vs. XLI +7.1% and SPY +3.8%)</w:t>
      </w:r>
      <w:r>
        <w:rPr>
          <w:rFonts w:ascii="Calibri" w:hAnsi="Calibri"/>
          <w:color w:val="525866"/>
          <w:sz w:val="22"/>
        </w:rPr>
        <w:t xml:space="preserve">, recovering from a mid-May trough, which means some of the recovery thesis is already in the price and a beat-and-raise is needed to sustain momentum. The key wildcard is the </w:t>
      </w:r>
      <w:r>
        <w:rPr>
          <w:rFonts w:ascii="Calibri" w:hAnsi="Calibri"/>
          <w:b/>
          <w:color w:val="525866"/>
          <w:sz w:val="22"/>
        </w:rPr>
        <w:t>timing and magnitude of Section 232 tariff credits</w:t>
      </w:r>
      <w:r>
        <w:rPr>
          <w:rFonts w:ascii="Calibri" w:hAnsi="Calibri"/>
          <w:color w:val="525866"/>
          <w:sz w:val="22"/>
        </w:rPr>
        <w:t xml:space="preserve"> — management expects to apply for and receive the 3.75% MSRP credit "in the not-distant future," and any acceleration of that timeline could provide a meaningful upside surprise to truck margins beyond the guided 13.5%.</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estimates are tracking management's guidance closely with minimal divergence. </w:t>
      </w:r>
      <w:r>
        <w:rPr>
          <w:rFonts w:ascii="Calibri" w:hAnsi="Calibri"/>
          <w:b/>
          <w:color w:val="525866"/>
          <w:sz w:val="22"/>
        </w:rPr>
        <w:t>Truck gross margin is the bigger swing factor</w:t>
      </w:r>
      <w:r>
        <w:rPr>
          <w:rFonts w:ascii="Calibri" w:hAnsi="Calibri"/>
          <w:color w:val="525866"/>
          <w:sz w:val="22"/>
        </w:rPr>
        <w:t>: consensus at ~8.0% for the truck segment alone (vs. 13.5% guided for Truck, Parts &amp; Other combined) reflects the mix-adjusted math, and any upside from tariff credits or better-than-expected pricing would flow directly to the bottom 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 (Prior Year)</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Guidance (Q1 Call)</w:t>
            </w:r>
          </w:p>
        </w:tc>
        <w:tc>
          <w:tcPr>
            <w:tcW w:type="dxa" w:w="1234"/>
          </w:tcPr>
          <w:p>
            <w:r>
              <w:rPr>
                <w:rFonts w:ascii="Calibri" w:hAnsi="Calibri"/>
                <w:b/>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$6.78B</w:t>
            </w:r>
          </w:p>
        </w:tc>
        <w:tc>
          <w:tcPr>
            <w:tcW w:type="dxa" w:w="1234"/>
          </w:tcPr>
          <w:p>
            <w:r>
              <w:rPr>
                <w:rFonts w:ascii="Calibri" w:hAnsi="Calibri"/>
                <w:sz w:val="22"/>
              </w:rPr>
              <w:t>$7.51B</w:t>
            </w:r>
          </w:p>
        </w:tc>
        <w:tc>
          <w:tcPr>
            <w:tcW w:type="dxa" w:w="1234"/>
          </w:tcPr>
          <w:p>
            <w:r>
              <w:rPr>
                <w:rFonts w:ascii="Calibri" w:hAnsi="Calibri"/>
                <w:sz w:val="22"/>
              </w:rPr>
              <w:t>$7.56B</w:t>
            </w:r>
          </w:p>
        </w:tc>
        <w:tc>
          <w:tcPr>
            <w:tcW w:type="dxa" w:w="1234"/>
          </w:tcPr>
          <w:p>
            <w:r>
              <w:rPr>
                <w:rFonts w:ascii="Calibri" w:hAnsi="Calibri"/>
                <w:sz w:val="22"/>
              </w:rPr>
              <w:t>+0.7% YoY</w:t>
            </w:r>
          </w:p>
        </w:tc>
        <w:tc>
          <w:tcPr>
            <w:tcW w:type="dxa" w:w="1234"/>
          </w:tcPr>
          <w:p>
            <w:r>
              <w:rPr>
                <w:rFonts w:ascii="Calibri" w:hAnsi="Calibri"/>
                <w:sz w:val="22"/>
              </w:rPr>
              <w:t>No explicit guidance; implied by 37–38k deliveries</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$1.15</w:t>
            </w:r>
          </w:p>
        </w:tc>
        <w:tc>
          <w:tcPr>
            <w:tcW w:type="dxa" w:w="1234"/>
          </w:tcPr>
          <w:p>
            <w:r>
              <w:rPr>
                <w:rFonts w:ascii="Calibri" w:hAnsi="Calibri"/>
                <w:sz w:val="22"/>
              </w:rPr>
              <w:t>$1.37</w:t>
            </w:r>
          </w:p>
        </w:tc>
        <w:tc>
          <w:tcPr>
            <w:tcW w:type="dxa" w:w="1234"/>
          </w:tcPr>
          <w:p>
            <w:r>
              <w:rPr>
                <w:rFonts w:ascii="Calibri" w:hAnsi="Calibri"/>
                <w:sz w:val="22"/>
              </w:rPr>
              <w:t>$1.34</w:t>
            </w:r>
          </w:p>
        </w:tc>
        <w:tc>
          <w:tcPr>
            <w:tcW w:type="dxa" w:w="1234"/>
          </w:tcPr>
          <w:p>
            <w:r>
              <w:rPr>
                <w:rFonts w:ascii="Calibri" w:hAnsi="Calibri"/>
                <w:sz w:val="22"/>
              </w:rPr>
              <w:t>-2.2% YoY</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Truck Revenue</w:t>
            </w:r>
          </w:p>
        </w:tc>
        <w:tc>
          <w:tcPr>
            <w:tcW w:type="dxa" w:w="1234"/>
          </w:tcPr>
          <w:p>
            <w:r>
              <w:rPr>
                <w:rFonts w:ascii="Calibri" w:hAnsi="Calibri"/>
                <w:sz w:val="22"/>
              </w:rPr>
              <w:t>$4.53B</w:t>
            </w:r>
          </w:p>
        </w:tc>
        <w:tc>
          <w:tcPr>
            <w:tcW w:type="dxa" w:w="1234"/>
          </w:tcPr>
          <w:p>
            <w:r>
              <w:rPr>
                <w:rFonts w:ascii="Calibri" w:hAnsi="Calibri"/>
                <w:sz w:val="22"/>
              </w:rPr>
              <w:t>$5.24B</w:t>
            </w:r>
          </w:p>
        </w:tc>
        <w:tc>
          <w:tcPr>
            <w:tcW w:type="dxa" w:w="1234"/>
          </w:tcPr>
          <w:p>
            <w:r>
              <w:rPr>
                <w:rFonts w:ascii="Calibri" w:hAnsi="Calibri"/>
                <w:sz w:val="22"/>
              </w:rPr>
              <w:t>$5.25B</w:t>
            </w:r>
          </w:p>
        </w:tc>
        <w:tc>
          <w:tcPr>
            <w:tcW w:type="dxa" w:w="1234"/>
          </w:tcPr>
          <w:p>
            <w:r>
              <w:rPr>
                <w:rFonts w:ascii="Calibri" w:hAnsi="Calibri"/>
                <w:sz w:val="22"/>
              </w:rPr>
              <w:t>+0.3% YoY</w:t>
            </w:r>
          </w:p>
        </w:tc>
        <w:tc>
          <w:tcPr>
            <w:tcW w:type="dxa" w:w="1234"/>
          </w:tcPr>
          <w:p>
            <w:r>
              <w:rPr>
                <w:rFonts w:ascii="Calibri" w:hAnsi="Calibri"/>
                <w:sz w:val="22"/>
              </w:rPr>
              <w:t>Implied by 37–38k deliveries</w:t>
            </w:r>
          </w:p>
        </w:tc>
        <w:tc>
          <w:tcPr>
            <w:tcW w:type="dxa" w:w="1234"/>
          </w:tcPr>
          <w:p>
            <w:r>
              <w:rPr>
                <w:rFonts w:ascii="Calibri" w:hAnsi="Calibri"/>
                <w:sz w:val="22"/>
              </w:rPr>
              <w:t>N/A</w:t>
            </w:r>
          </w:p>
        </w:tc>
      </w:tr>
      <w:tr>
        <w:tc>
          <w:tcPr>
            <w:tcW w:type="dxa" w:w="1234"/>
          </w:tcPr>
          <w:p>
            <w:r>
              <w:rPr>
                <w:rFonts w:ascii="Calibri" w:hAnsi="Calibri"/>
                <w:sz w:val="22"/>
              </w:rPr>
              <w:t>Gross Margin — Truck, Parts &amp; Other</w:t>
            </w:r>
          </w:p>
        </w:tc>
        <w:tc>
          <w:tcPr>
            <w:tcW w:type="dxa" w:w="1234"/>
          </w:tcPr>
          <w:p>
            <w:r>
              <w:rPr>
                <w:rFonts w:ascii="Calibri" w:hAnsi="Calibri"/>
                <w:sz w:val="22"/>
              </w:rPr>
              <w:t>13.1%</w:t>
            </w:r>
          </w:p>
        </w:tc>
        <w:tc>
          <w:tcPr>
            <w:tcW w:type="dxa" w:w="1234"/>
          </w:tcPr>
          <w:p>
            <w:r>
              <w:rPr>
                <w:rFonts w:ascii="Calibri" w:hAnsi="Calibri"/>
                <w:sz w:val="22"/>
              </w:rPr>
              <w:t>N/A — not in VA at combined level</w:t>
            </w:r>
          </w:p>
        </w:tc>
        <w:tc>
          <w:tcPr>
            <w:tcW w:type="dxa" w:w="1234"/>
          </w:tcPr>
          <w:p>
            <w:r>
              <w:rPr>
                <w:rFonts w:ascii="Calibri" w:hAnsi="Calibri"/>
                <w:sz w:val="22"/>
              </w:rPr>
              <w:t>~13.5% (mgmt guided)</w:t>
            </w:r>
          </w:p>
        </w:tc>
        <w:tc>
          <w:tcPr>
            <w:tcW w:type="dxa" w:w="1234"/>
          </w:tcPr>
          <w:p>
            <w:r>
              <w:rPr>
                <w:rFonts w:ascii="Calibri" w:hAnsi="Calibri"/>
                <w:sz w:val="22"/>
              </w:rPr>
              <w:t>N/A</w:t>
            </w:r>
          </w:p>
        </w:tc>
        <w:tc>
          <w:tcPr>
            <w:tcW w:type="dxa" w:w="1234"/>
          </w:tcPr>
          <w:p>
            <w:r>
              <w:rPr>
                <w:rFonts w:ascii="Calibri" w:hAnsi="Calibri"/>
                <w:sz w:val="22"/>
              </w:rPr>
              <w:t>~13.5%</w:t>
            </w:r>
          </w:p>
        </w:tc>
        <w:tc>
          <w:tcPr>
            <w:tcW w:type="dxa" w:w="1234"/>
          </w:tcPr>
          <w:p>
            <w:r>
              <w:rPr>
                <w:rFonts w:ascii="Calibri" w:hAnsi="Calibri"/>
                <w:sz w:val="22"/>
              </w:rPr>
              <w:t>~0% (in-line)</w:t>
            </w:r>
          </w:p>
        </w:tc>
      </w:tr>
      <w:tr>
        <w:tc>
          <w:tcPr>
            <w:tcW w:type="dxa" w:w="1234"/>
          </w:tcPr>
          <w:p>
            <w:r>
              <w:rPr>
                <w:rFonts w:ascii="Calibri" w:hAnsi="Calibri"/>
                <w:sz w:val="22"/>
              </w:rPr>
              <w:t>Gross Margin — Truck Segment (%)</w:t>
            </w:r>
          </w:p>
        </w:tc>
        <w:tc>
          <w:tcPr>
            <w:tcW w:type="dxa" w:w="1234"/>
          </w:tcPr>
          <w:p>
            <w:r>
              <w:rPr>
                <w:rFonts w:ascii="Calibri" w:hAnsi="Calibri"/>
                <w:sz w:val="22"/>
              </w:rPr>
              <w:t>7.0%</w:t>
            </w:r>
          </w:p>
        </w:tc>
        <w:tc>
          <w:tcPr>
            <w:tcW w:type="dxa" w:w="1234"/>
          </w:tcPr>
          <w:p>
            <w:r>
              <w:rPr>
                <w:rFonts w:ascii="Calibri" w:hAnsi="Calibri"/>
                <w:sz w:val="22"/>
              </w:rPr>
              <w:t>8.7%</w:t>
            </w:r>
          </w:p>
        </w:tc>
        <w:tc>
          <w:tcPr>
            <w:tcW w:type="dxa" w:w="1234"/>
          </w:tcPr>
          <w:p>
            <w:r>
              <w:rPr>
                <w:rFonts w:ascii="Calibri" w:hAnsi="Calibri"/>
                <w:sz w:val="22"/>
              </w:rPr>
              <w:t>8.0%</w:t>
            </w:r>
          </w:p>
        </w:tc>
        <w:tc>
          <w:tcPr>
            <w:tcW w:type="dxa" w:w="1234"/>
          </w:tcPr>
          <w:p>
            <w:r>
              <w:rPr>
                <w:rFonts w:ascii="Calibri" w:hAnsi="Calibri"/>
                <w:sz w:val="22"/>
              </w:rPr>
              <w:t>-70 bps YoY</w:t>
            </w:r>
          </w:p>
        </w:tc>
        <w:tc>
          <w:tcPr>
            <w:tcW w:type="dxa" w:w="1234"/>
          </w:tcPr>
          <w:p>
            <w:r>
              <w:rPr>
                <w:rFonts w:ascii="Calibri" w:hAnsi="Calibri"/>
                <w:sz w:val="22"/>
              </w:rPr>
              <w:t>Expansion from Q1 trough</w:t>
            </w:r>
          </w:p>
        </w:tc>
        <w:tc>
          <w:tcPr>
            <w:tcW w:type="dxa" w:w="1234"/>
          </w:tcPr>
          <w:p>
            <w:r>
              <w:rPr>
                <w:rFonts w:ascii="Calibri" w:hAnsi="Calibri"/>
                <w:sz w:val="22"/>
              </w:rPr>
              <w:t>N/A</w:t>
            </w:r>
          </w:p>
        </w:tc>
      </w:tr>
      <w:tr>
        <w:tc>
          <w:tcPr>
            <w:tcW w:type="dxa" w:w="1234"/>
          </w:tcPr>
          <w:p>
            <w:r>
              <w:rPr>
                <w:rFonts w:ascii="Calibri" w:hAnsi="Calibri"/>
                <w:sz w:val="22"/>
              </w:rPr>
              <w:t>Parts Revenue</w:t>
            </w:r>
          </w:p>
        </w:tc>
        <w:tc>
          <w:tcPr>
            <w:tcW w:type="dxa" w:w="1234"/>
          </w:tcPr>
          <w:p>
            <w:r>
              <w:rPr>
                <w:rFonts w:ascii="Calibri" w:hAnsi="Calibri"/>
                <w:sz w:val="22"/>
              </w:rPr>
              <w:t>$1.71B</w:t>
            </w:r>
          </w:p>
        </w:tc>
        <w:tc>
          <w:tcPr>
            <w:tcW w:type="dxa" w:w="1234"/>
          </w:tcPr>
          <w:p>
            <w:r>
              <w:rPr>
                <w:rFonts w:ascii="Calibri" w:hAnsi="Calibri"/>
                <w:sz w:val="22"/>
              </w:rPr>
              <w:t>$1.72B</w:t>
            </w:r>
          </w:p>
        </w:tc>
        <w:tc>
          <w:tcPr>
            <w:tcW w:type="dxa" w:w="1234"/>
          </w:tcPr>
          <w:p>
            <w:r>
              <w:rPr>
                <w:rFonts w:ascii="Calibri" w:hAnsi="Calibri"/>
                <w:sz w:val="22"/>
              </w:rPr>
              <w:t>$1.77B</w:t>
            </w:r>
          </w:p>
        </w:tc>
        <w:tc>
          <w:tcPr>
            <w:tcW w:type="dxa" w:w="1234"/>
          </w:tcPr>
          <w:p>
            <w:r>
              <w:rPr>
                <w:rFonts w:ascii="Calibri" w:hAnsi="Calibri"/>
                <w:sz w:val="22"/>
              </w:rPr>
              <w:t>+2.9% YoY</w:t>
            </w:r>
          </w:p>
        </w:tc>
        <w:tc>
          <w:tcPr>
            <w:tcW w:type="dxa" w:w="1234"/>
          </w:tcPr>
          <w:p>
            <w:r>
              <w:rPr>
                <w:rFonts w:ascii="Calibri" w:hAnsi="Calibri"/>
                <w:sz w:val="22"/>
              </w:rPr>
              <w:t>~+3% QoQ growth guided</w:t>
            </w:r>
          </w:p>
        </w:tc>
        <w:tc>
          <w:tcPr>
            <w:tcW w:type="dxa" w:w="1234"/>
          </w:tcPr>
          <w:p>
            <w:r>
              <w:rPr>
                <w:rFonts w:ascii="Calibri" w:hAnsi="Calibri"/>
                <w:sz w:val="22"/>
              </w:rPr>
              <w:t>~+3% (in-line with guidance)</w:t>
            </w:r>
          </w:p>
        </w:tc>
      </w:tr>
      <w:tr>
        <w:tc>
          <w:tcPr>
            <w:tcW w:type="dxa" w:w="1234"/>
          </w:tcPr>
          <w:p>
            <w:r>
              <w:rPr>
                <w:rFonts w:ascii="Calibri" w:hAnsi="Calibri"/>
                <w:sz w:val="22"/>
              </w:rPr>
              <w:t>Gross Margin — Parts (%)</w:t>
            </w:r>
          </w:p>
        </w:tc>
        <w:tc>
          <w:tcPr>
            <w:tcW w:type="dxa" w:w="1234"/>
          </w:tcPr>
          <w:p>
            <w:r>
              <w:rPr>
                <w:rFonts w:ascii="Calibri" w:hAnsi="Calibri"/>
                <w:sz w:val="22"/>
              </w:rPr>
              <w:t>29.6%</w:t>
            </w:r>
          </w:p>
        </w:tc>
        <w:tc>
          <w:tcPr>
            <w:tcW w:type="dxa" w:w="1234"/>
          </w:tcPr>
          <w:p>
            <w:r>
              <w:rPr>
                <w:rFonts w:ascii="Calibri" w:hAnsi="Calibri"/>
                <w:sz w:val="22"/>
              </w:rPr>
              <w:t>30.0%</w:t>
            </w:r>
          </w:p>
        </w:tc>
        <w:tc>
          <w:tcPr>
            <w:tcW w:type="dxa" w:w="1234"/>
          </w:tcPr>
          <w:p>
            <w:r>
              <w:rPr>
                <w:rFonts w:ascii="Calibri" w:hAnsi="Calibri"/>
                <w:sz w:val="22"/>
              </w:rPr>
              <w:t>29.9%</w:t>
            </w:r>
          </w:p>
        </w:tc>
        <w:tc>
          <w:tcPr>
            <w:tcW w:type="dxa" w:w="1234"/>
          </w:tcPr>
          <w:p>
            <w:r>
              <w:rPr>
                <w:rFonts w:ascii="Calibri" w:hAnsi="Calibri"/>
                <w:sz w:val="22"/>
              </w:rPr>
              <w:t>-10 bps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Financial Services Revenue</w:t>
            </w:r>
          </w:p>
        </w:tc>
        <w:tc>
          <w:tcPr>
            <w:tcW w:type="dxa" w:w="1234"/>
          </w:tcPr>
          <w:p>
            <w:r>
              <w:rPr>
                <w:rFonts w:ascii="Calibri" w:hAnsi="Calibri"/>
                <w:sz w:val="22"/>
              </w:rPr>
              <w:t>$542M</w:t>
            </w:r>
          </w:p>
        </w:tc>
        <w:tc>
          <w:tcPr>
            <w:tcW w:type="dxa" w:w="1234"/>
          </w:tcPr>
          <w:p>
            <w:r>
              <w:rPr>
                <w:rFonts w:ascii="Calibri" w:hAnsi="Calibri"/>
                <w:sz w:val="22"/>
              </w:rPr>
              <w:t>$548M</w:t>
            </w:r>
          </w:p>
        </w:tc>
        <w:tc>
          <w:tcPr>
            <w:tcW w:type="dxa" w:w="1234"/>
          </w:tcPr>
          <w:p>
            <w:r>
              <w:rPr>
                <w:rFonts w:ascii="Calibri" w:hAnsi="Calibri"/>
                <w:sz w:val="22"/>
              </w:rPr>
              <w:t>$556M</w:t>
            </w:r>
          </w:p>
        </w:tc>
        <w:tc>
          <w:tcPr>
            <w:tcW w:type="dxa" w:w="1234"/>
          </w:tcPr>
          <w:p>
            <w:r>
              <w:rPr>
                <w:rFonts w:ascii="Calibri" w:hAnsi="Calibri"/>
                <w:sz w:val="22"/>
              </w:rPr>
              <w:t>+1.5%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Truck Deliveries (units)</w:t>
            </w:r>
          </w:p>
        </w:tc>
        <w:tc>
          <w:tcPr>
            <w:tcW w:type="dxa" w:w="1234"/>
          </w:tcPr>
          <w:p>
            <w:r>
              <w:rPr>
                <w:rFonts w:ascii="Calibri" w:hAnsi="Calibri"/>
                <w:sz w:val="22"/>
              </w:rPr>
              <w:t>33,100</w:t>
            </w:r>
          </w:p>
        </w:tc>
        <w:tc>
          <w:tcPr>
            <w:tcW w:type="dxa" w:w="1234"/>
          </w:tcPr>
          <w:p>
            <w:r>
              <w:rPr>
                <w:rFonts w:ascii="Calibri" w:hAnsi="Calibri"/>
                <w:sz w:val="22"/>
              </w:rPr>
              <w:t>39,300</w:t>
            </w:r>
          </w:p>
        </w:tc>
        <w:tc>
          <w:tcPr>
            <w:tcW w:type="dxa" w:w="1234"/>
          </w:tcPr>
          <w:p>
            <w:r>
              <w:rPr>
                <w:rFonts w:ascii="Calibri" w:hAnsi="Calibri"/>
                <w:sz w:val="22"/>
              </w:rPr>
              <w:t>37,785</w:t>
            </w:r>
          </w:p>
        </w:tc>
        <w:tc>
          <w:tcPr>
            <w:tcW w:type="dxa" w:w="1234"/>
          </w:tcPr>
          <w:p>
            <w:r>
              <w:rPr>
                <w:rFonts w:ascii="Calibri" w:hAnsi="Calibri"/>
                <w:sz w:val="22"/>
              </w:rPr>
              <w:t>-3.9% YoY</w:t>
            </w:r>
          </w:p>
        </w:tc>
        <w:tc>
          <w:tcPr>
            <w:tcW w:type="dxa" w:w="1234"/>
          </w:tcPr>
          <w:p>
            <w:r>
              <w:rPr>
                <w:rFonts w:ascii="Calibri" w:hAnsi="Calibri"/>
                <w:sz w:val="22"/>
              </w:rPr>
              <w:t>37,000–38,000</w:t>
            </w:r>
          </w:p>
        </w:tc>
        <w:tc>
          <w:tcPr>
            <w:tcW w:type="dxa" w:w="1234"/>
          </w:tcPr>
          <w:p>
            <w:r>
              <w:rPr>
                <w:rFonts w:ascii="Calibri" w:hAnsi="Calibri"/>
                <w:sz w:val="22"/>
              </w:rPr>
              <w:t>+2.1% above midpoint</w:t>
            </w:r>
          </w:p>
        </w:tc>
      </w:tr>
    </w:tbl>
    <w:p>
      <w:r>
        <w:rPr>
          <w:rFonts w:ascii="Calibri" w:hAnsi="Calibri"/>
          <w:i/>
          <w:color w:val="525866"/>
          <w:sz w:val="22"/>
        </w:rPr>
        <w:t>Sources: Visible Alpha Consensus and Actuals Data; PACCAR Q1 2026 Earnings Call Transcript (April 28, 2026).</w:t>
      </w:r>
    </w:p>
    <w:p>
      <w:pPr>
        <w:pStyle w:val="Heading3"/>
      </w:pPr>
      <w:r>
        <w:rPr>
          <w:rFonts w:ascii="Calibri" w:hAnsi="Calibri"/>
          <w:b/>
          <w:color w:val="3B4259"/>
          <w:sz w:val="24"/>
        </w:rPr>
        <w:t>Table 2 — Beat/Miss History (Last 8 Quarters)</w:t>
      </w:r>
    </w:p>
    <w:p>
      <w:r>
        <w:rPr>
          <w:rFonts w:ascii="Calibri" w:hAnsi="Calibri"/>
          <w:b/>
          <w:color w:val="525866"/>
          <w:sz w:val="22"/>
        </w:rPr>
        <w:t>Top 2 KPIs: (1) EPS — Diluted Operating; (2) Gross Margin — Truck, Parts &amp; Other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EPS — Diluted Operating</w:t>
            </w:r>
          </w:p>
        </w:tc>
        <w:tc>
          <w:tcPr>
            <w:tcW w:type="dxa" w:w="1440"/>
          </w:tcPr>
          <w:p>
            <w:r>
              <w:rPr>
                <w:rFonts w:ascii="Calibri" w:hAnsi="Calibri"/>
                <w:sz w:val="22"/>
              </w:rPr>
              <w:t>$1.15</w:t>
            </w:r>
          </w:p>
        </w:tc>
        <w:tc>
          <w:tcPr>
            <w:tcW w:type="dxa" w:w="1440"/>
          </w:tcPr>
          <w:p>
            <w:r>
              <w:rPr>
                <w:rFonts w:ascii="Calibri" w:hAnsi="Calibri"/>
                <w:sz w:val="22"/>
              </w:rPr>
              <w:t>$1.15</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Gross Margin — Truck (%)</w:t>
            </w:r>
          </w:p>
        </w:tc>
        <w:tc>
          <w:tcPr>
            <w:tcW w:type="dxa" w:w="1440"/>
          </w:tcPr>
          <w:p>
            <w:r>
              <w:rPr>
                <w:rFonts w:ascii="Calibri" w:hAnsi="Calibri"/>
                <w:sz w:val="22"/>
              </w:rPr>
              <w:t>7.0%</w:t>
            </w:r>
          </w:p>
        </w:tc>
        <w:tc>
          <w:tcPr>
            <w:tcW w:type="dxa" w:w="1440"/>
          </w:tcPr>
          <w:p>
            <w:r>
              <w:rPr>
                <w:rFonts w:ascii="Calibri" w:hAnsi="Calibri"/>
                <w:sz w:val="22"/>
              </w:rPr>
              <w:t>6.0%</w:t>
            </w:r>
          </w:p>
        </w:tc>
        <w:tc>
          <w:tcPr>
            <w:tcW w:type="dxa" w:w="1440"/>
          </w:tcPr>
          <w:p>
            <w:r>
              <w:rPr>
                <w:rFonts w:ascii="Calibri" w:hAnsi="Calibri"/>
                <w:sz w:val="22"/>
              </w:rPr>
              <w:t>+100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Operating</w:t>
            </w:r>
          </w:p>
        </w:tc>
        <w:tc>
          <w:tcPr>
            <w:tcW w:type="dxa" w:w="1440"/>
          </w:tcPr>
          <w:p>
            <w:r>
              <w:rPr>
                <w:rFonts w:ascii="Calibri" w:hAnsi="Calibri"/>
                <w:sz w:val="22"/>
              </w:rPr>
              <w:t>$1.06</w:t>
            </w:r>
          </w:p>
        </w:tc>
        <w:tc>
          <w:tcPr>
            <w:tcW w:type="dxa" w:w="1440"/>
          </w:tcPr>
          <w:p>
            <w:r>
              <w:rPr>
                <w:rFonts w:ascii="Calibri" w:hAnsi="Calibri"/>
                <w:sz w:val="22"/>
              </w:rPr>
              <w:t>$1.06</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Gross Margin — Truck (%)</w:t>
            </w:r>
          </w:p>
        </w:tc>
        <w:tc>
          <w:tcPr>
            <w:tcW w:type="dxa" w:w="1440"/>
          </w:tcPr>
          <w:p>
            <w:r>
              <w:rPr>
                <w:rFonts w:ascii="Calibri" w:hAnsi="Calibri"/>
                <w:sz w:val="22"/>
              </w:rPr>
              <w:t>5.3%</w:t>
            </w:r>
          </w:p>
        </w:tc>
        <w:tc>
          <w:tcPr>
            <w:tcW w:type="dxa" w:w="1440"/>
          </w:tcPr>
          <w:p>
            <w:r>
              <w:rPr>
                <w:rFonts w:ascii="Calibri" w:hAnsi="Calibri"/>
                <w:sz w:val="22"/>
              </w:rPr>
              <w:t>5.0%</w:t>
            </w:r>
          </w:p>
        </w:tc>
        <w:tc>
          <w:tcPr>
            <w:tcW w:type="dxa" w:w="1440"/>
          </w:tcPr>
          <w:p>
            <w:r>
              <w:rPr>
                <w:rFonts w:ascii="Calibri" w:hAnsi="Calibri"/>
                <w:sz w:val="22"/>
              </w:rPr>
              <w:t>+30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EPS — Diluted Operating</w:t>
            </w:r>
          </w:p>
        </w:tc>
        <w:tc>
          <w:tcPr>
            <w:tcW w:type="dxa" w:w="1440"/>
          </w:tcPr>
          <w:p>
            <w:r>
              <w:rPr>
                <w:rFonts w:ascii="Calibri" w:hAnsi="Calibri"/>
                <w:sz w:val="22"/>
              </w:rPr>
              <w:t>$1.12</w:t>
            </w:r>
          </w:p>
        </w:tc>
        <w:tc>
          <w:tcPr>
            <w:tcW w:type="dxa" w:w="1440"/>
          </w:tcPr>
          <w:p>
            <w:r>
              <w:rPr>
                <w:rFonts w:ascii="Calibri" w:hAnsi="Calibri"/>
                <w:sz w:val="22"/>
              </w:rPr>
              <w:t>$1.13</w:t>
            </w:r>
          </w:p>
        </w:tc>
        <w:tc>
          <w:tcPr>
            <w:tcW w:type="dxa" w:w="1440"/>
          </w:tcPr>
          <w:p>
            <w:r>
              <w:rPr>
                <w:rFonts w:ascii="Calibri" w:hAnsi="Calibri"/>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Gross Margin — Truck (%)</w:t>
            </w:r>
          </w:p>
        </w:tc>
        <w:tc>
          <w:tcPr>
            <w:tcW w:type="dxa" w:w="1440"/>
          </w:tcPr>
          <w:p>
            <w:r>
              <w:rPr>
                <w:rFonts w:ascii="Calibri" w:hAnsi="Calibri"/>
                <w:sz w:val="22"/>
              </w:rPr>
              <w:t>5.8%</w:t>
            </w:r>
          </w:p>
        </w:tc>
        <w:tc>
          <w:tcPr>
            <w:tcW w:type="dxa" w:w="1440"/>
          </w:tcPr>
          <w:p>
            <w:r>
              <w:rPr>
                <w:rFonts w:ascii="Calibri" w:hAnsi="Calibri"/>
                <w:sz w:val="22"/>
              </w:rPr>
              <w:t>6.4%</w:t>
            </w:r>
          </w:p>
        </w:tc>
        <w:tc>
          <w:tcPr>
            <w:tcW w:type="dxa" w:w="1440"/>
          </w:tcPr>
          <w:p>
            <w:r>
              <w:rPr>
                <w:rFonts w:ascii="Calibri" w:hAnsi="Calibri"/>
                <w:sz w:val="22"/>
              </w:rPr>
              <w:t>-60 bps</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EPS — Diluted Operating</w:t>
            </w:r>
          </w:p>
        </w:tc>
        <w:tc>
          <w:tcPr>
            <w:tcW w:type="dxa" w:w="1440"/>
          </w:tcPr>
          <w:p>
            <w:r>
              <w:rPr>
                <w:rFonts w:ascii="Calibri" w:hAnsi="Calibri"/>
                <w:sz w:val="22"/>
              </w:rPr>
              <w:t>$1.37</w:t>
            </w:r>
          </w:p>
        </w:tc>
        <w:tc>
          <w:tcPr>
            <w:tcW w:type="dxa" w:w="1440"/>
          </w:tcPr>
          <w:p>
            <w:r>
              <w:rPr>
                <w:rFonts w:ascii="Calibri" w:hAnsi="Calibri"/>
                <w:sz w:val="22"/>
              </w:rPr>
              <w:t>$1.28</w:t>
            </w:r>
          </w:p>
        </w:tc>
        <w:tc>
          <w:tcPr>
            <w:tcW w:type="dxa" w:w="1440"/>
          </w:tcPr>
          <w:p>
            <w:r>
              <w:rPr>
                <w:rFonts w:ascii="Calibri" w:hAnsi="Calibri"/>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Gross Margin — Truck (%)</w:t>
            </w:r>
          </w:p>
        </w:tc>
        <w:tc>
          <w:tcPr>
            <w:tcW w:type="dxa" w:w="1440"/>
          </w:tcPr>
          <w:p>
            <w:r>
              <w:rPr>
                <w:rFonts w:ascii="Calibri" w:hAnsi="Calibri"/>
                <w:sz w:val="22"/>
              </w:rPr>
              <w:t>8.7%</w:t>
            </w:r>
          </w:p>
        </w:tc>
        <w:tc>
          <w:tcPr>
            <w:tcW w:type="dxa" w:w="1440"/>
          </w:tcPr>
          <w:p>
            <w:r>
              <w:rPr>
                <w:rFonts w:ascii="Calibri" w:hAnsi="Calibri"/>
                <w:sz w:val="22"/>
              </w:rPr>
              <w:t>8.2%</w:t>
            </w:r>
          </w:p>
        </w:tc>
        <w:tc>
          <w:tcPr>
            <w:tcW w:type="dxa" w:w="1440"/>
          </w:tcPr>
          <w:p>
            <w:r>
              <w:rPr>
                <w:rFonts w:ascii="Calibri" w:hAnsi="Calibri"/>
                <w:sz w:val="22"/>
              </w:rPr>
              <w:t>+50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EPS — Diluted Operating</w:t>
            </w:r>
          </w:p>
        </w:tc>
        <w:tc>
          <w:tcPr>
            <w:tcW w:type="dxa" w:w="1440"/>
          </w:tcPr>
          <w:p>
            <w:r>
              <w:rPr>
                <w:rFonts w:ascii="Calibri" w:hAnsi="Calibri"/>
                <w:sz w:val="22"/>
              </w:rPr>
              <w:t>$1.46</w:t>
            </w:r>
          </w:p>
        </w:tc>
        <w:tc>
          <w:tcPr>
            <w:tcW w:type="dxa" w:w="1440"/>
          </w:tcPr>
          <w:p>
            <w:r>
              <w:rPr>
                <w:rFonts w:ascii="Calibri" w:hAnsi="Calibri"/>
                <w:sz w:val="22"/>
              </w:rPr>
              <w:t>$1.56</w:t>
            </w:r>
          </w:p>
        </w:tc>
        <w:tc>
          <w:tcPr>
            <w:tcW w:type="dxa" w:w="1440"/>
          </w:tcPr>
          <w:p>
            <w:r>
              <w:rPr>
                <w:rFonts w:ascii="Calibri" w:hAnsi="Calibri"/>
                <w:sz w:val="22"/>
              </w:rPr>
              <w:t>-6.4%</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Gross Margin — Truck (%)</w:t>
            </w:r>
          </w:p>
        </w:tc>
        <w:tc>
          <w:tcPr>
            <w:tcW w:type="dxa" w:w="1440"/>
          </w:tcPr>
          <w:p>
            <w:r>
              <w:rPr>
                <w:rFonts w:ascii="Calibri" w:hAnsi="Calibri"/>
                <w:sz w:val="22"/>
              </w:rPr>
              <w:t>9.7%</w:t>
            </w:r>
          </w:p>
        </w:tc>
        <w:tc>
          <w:tcPr>
            <w:tcW w:type="dxa" w:w="1440"/>
          </w:tcPr>
          <w:p>
            <w:r>
              <w:rPr>
                <w:rFonts w:ascii="Calibri" w:hAnsi="Calibri"/>
                <w:sz w:val="22"/>
              </w:rPr>
              <w:t>11.5%</w:t>
            </w:r>
          </w:p>
        </w:tc>
        <w:tc>
          <w:tcPr>
            <w:tcW w:type="dxa" w:w="1440"/>
          </w:tcPr>
          <w:p>
            <w:r>
              <w:rPr>
                <w:rFonts w:ascii="Calibri" w:hAnsi="Calibri"/>
                <w:sz w:val="22"/>
              </w:rPr>
              <w:t>-180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EPS — Diluted Operating</w:t>
            </w:r>
          </w:p>
        </w:tc>
        <w:tc>
          <w:tcPr>
            <w:tcW w:type="dxa" w:w="1440"/>
          </w:tcPr>
          <w:p>
            <w:r>
              <w:rPr>
                <w:rFonts w:ascii="Calibri" w:hAnsi="Calibri"/>
                <w:sz w:val="22"/>
              </w:rPr>
              <w:t>$1.66</w:t>
            </w:r>
          </w:p>
        </w:tc>
        <w:tc>
          <w:tcPr>
            <w:tcW w:type="dxa" w:w="1440"/>
          </w:tcPr>
          <w:p>
            <w:r>
              <w:rPr>
                <w:rFonts w:ascii="Calibri" w:hAnsi="Calibri"/>
                <w:sz w:val="22"/>
              </w:rPr>
              <w:t>$1.71</w:t>
            </w:r>
          </w:p>
        </w:tc>
        <w:tc>
          <w:tcPr>
            <w:tcW w:type="dxa" w:w="1440"/>
          </w:tcPr>
          <w:p>
            <w:r>
              <w:rPr>
                <w:rFonts w:ascii="Calibri" w:hAnsi="Calibri"/>
                <w:sz w:val="22"/>
              </w:rPr>
              <w:t>-3.0%</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Gross Margin — Truck (%)</w:t>
            </w:r>
          </w:p>
        </w:tc>
        <w:tc>
          <w:tcPr>
            <w:tcW w:type="dxa" w:w="1440"/>
          </w:tcPr>
          <w:p>
            <w:r>
              <w:rPr>
                <w:rFonts w:ascii="Calibri" w:hAnsi="Calibri"/>
                <w:sz w:val="22"/>
              </w:rPr>
              <w:t>11.6%</w:t>
            </w:r>
          </w:p>
        </w:tc>
        <w:tc>
          <w:tcPr>
            <w:tcW w:type="dxa" w:w="1440"/>
          </w:tcPr>
          <w:p>
            <w:r>
              <w:rPr>
                <w:rFonts w:ascii="Calibri" w:hAnsi="Calibri"/>
                <w:sz w:val="22"/>
              </w:rPr>
              <w:t>11.7%</w:t>
            </w:r>
          </w:p>
        </w:tc>
        <w:tc>
          <w:tcPr>
            <w:tcW w:type="dxa" w:w="1440"/>
          </w:tcPr>
          <w:p>
            <w:r>
              <w:rPr>
                <w:rFonts w:ascii="Calibri" w:hAnsi="Calibri"/>
                <w:sz w:val="22"/>
              </w:rPr>
              <w:t>-10 bps</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EPS — Diluted Operating</w:t>
            </w:r>
          </w:p>
        </w:tc>
        <w:tc>
          <w:tcPr>
            <w:tcW w:type="dxa" w:w="1440"/>
          </w:tcPr>
          <w:p>
            <w:r>
              <w:rPr>
                <w:rFonts w:ascii="Calibri" w:hAnsi="Calibri"/>
                <w:sz w:val="22"/>
              </w:rPr>
              <w:t>$1.85</w:t>
            </w:r>
          </w:p>
        </w:tc>
        <w:tc>
          <w:tcPr>
            <w:tcW w:type="dxa" w:w="1440"/>
          </w:tcPr>
          <w:p>
            <w:r>
              <w:rPr>
                <w:rFonts w:ascii="Calibri" w:hAnsi="Calibri"/>
                <w:sz w:val="22"/>
              </w:rPr>
              <w:t>$1.81</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Gross Margin — Truck (%)</w:t>
            </w:r>
          </w:p>
        </w:tc>
        <w:tc>
          <w:tcPr>
            <w:tcW w:type="dxa" w:w="1440"/>
          </w:tcPr>
          <w:p>
            <w:r>
              <w:rPr>
                <w:rFonts w:ascii="Calibri" w:hAnsi="Calibri"/>
                <w:sz w:val="22"/>
              </w:rPr>
              <w:t>13.0%</w:t>
            </w:r>
          </w:p>
        </w:tc>
        <w:tc>
          <w:tcPr>
            <w:tcW w:type="dxa" w:w="1440"/>
          </w:tcPr>
          <w:p>
            <w:r>
              <w:rPr>
                <w:rFonts w:ascii="Calibri" w:hAnsi="Calibri"/>
                <w:sz w:val="22"/>
              </w:rPr>
              <w:t>12.4%</w:t>
            </w:r>
          </w:p>
        </w:tc>
        <w:tc>
          <w:tcPr>
            <w:tcW w:type="dxa" w:w="1440"/>
          </w:tcPr>
          <w:p>
            <w:r>
              <w:rPr>
                <w:rFonts w:ascii="Calibri" w:hAnsi="Calibri"/>
                <w:sz w:val="22"/>
              </w:rPr>
              <w:t>+60 bps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EPS — Diluted Operating</w:t>
            </w:r>
          </w:p>
        </w:tc>
        <w:tc>
          <w:tcPr>
            <w:tcW w:type="dxa" w:w="1440"/>
          </w:tcPr>
          <w:p>
            <w:r>
              <w:rPr>
                <w:rFonts w:ascii="Calibri" w:hAnsi="Calibri"/>
                <w:sz w:val="22"/>
              </w:rPr>
              <w:t>$2.13</w:t>
            </w:r>
          </w:p>
        </w:tc>
        <w:tc>
          <w:tcPr>
            <w:tcW w:type="dxa" w:w="1440"/>
          </w:tcPr>
          <w:p>
            <w:r>
              <w:rPr>
                <w:rFonts w:ascii="Calibri" w:hAnsi="Calibri"/>
                <w:sz w:val="22"/>
              </w:rPr>
              <w:t>$2.12</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Gross Margin — Truck (%)</w:t>
            </w:r>
          </w:p>
        </w:tc>
        <w:tc>
          <w:tcPr>
            <w:tcW w:type="dxa" w:w="1440"/>
          </w:tcPr>
          <w:p>
            <w:r>
              <w:rPr>
                <w:rFonts w:ascii="Calibri" w:hAnsi="Calibri"/>
                <w:sz w:val="22"/>
              </w:rPr>
              <w:t>15.0%</w:t>
            </w:r>
          </w:p>
        </w:tc>
        <w:tc>
          <w:tcPr>
            <w:tcW w:type="dxa" w:w="1440"/>
          </w:tcPr>
          <w:p>
            <w:r>
              <w:rPr>
                <w:rFonts w:ascii="Calibri" w:hAnsi="Calibri"/>
                <w:sz w:val="22"/>
              </w:rPr>
              <w:t>14.2%</w:t>
            </w:r>
          </w:p>
        </w:tc>
        <w:tc>
          <w:tcPr>
            <w:tcW w:type="dxa" w:w="1440"/>
          </w:tcPr>
          <w:p>
            <w:r>
              <w:rPr>
                <w:rFonts w:ascii="Calibri" w:hAnsi="Calibri"/>
                <w:sz w:val="22"/>
              </w:rPr>
              <w:t>+80 bps</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PCAR has beaten on truck gross margin in 5 of the last 8 quarters, with the two misses concentrated in the cyclical trough (Q1–2025 and Q3 2025); EPS beats have been more mixed, with 4 beats and 4 misses/in-lines over the same window, suggesting margin execution is the more reliable upside driver than headline EPS.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 no post-earnings 8-K, conference, or investor day has revised the numbers. Management's tone was </w:t>
      </w:r>
      <w:r>
        <w:rPr>
          <w:rFonts w:ascii="Calibri" w:hAnsi="Calibri"/>
          <w:b/>
          <w:color w:val="525866"/>
          <w:sz w:val="22"/>
        </w:rPr>
        <w:t>notably confident and forward-leaning</w:t>
      </w:r>
      <w:r>
        <w:rPr>
          <w:rFonts w:ascii="Calibri" w:hAnsi="Calibri"/>
          <w:color w:val="525866"/>
          <w:sz w:val="22"/>
        </w:rPr>
        <w:t>, with explicit margin expansion guidance and a constructive read on order books through H2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28)</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Truck Deliveries</w:t>
            </w:r>
          </w:p>
        </w:tc>
        <w:tc>
          <w:tcPr>
            <w:tcW w:type="dxa" w:w="1728"/>
          </w:tcPr>
          <w:p>
            <w:r>
              <w:rPr>
                <w:rFonts w:ascii="Calibri" w:hAnsi="Calibri"/>
                <w:sz w:val="22"/>
              </w:rPr>
              <w:t>37,000–38,000 units</w:t>
            </w:r>
          </w:p>
        </w:tc>
        <w:tc>
          <w:tcPr>
            <w:tcW w:type="dxa" w:w="1728"/>
          </w:tcPr>
          <w:p>
            <w:r>
              <w:rPr>
                <w:rFonts w:ascii="Calibri" w:hAnsi="Calibri"/>
                <w:sz w:val="22"/>
              </w:rPr>
              <w:t>—</w:t>
            </w:r>
          </w:p>
        </w:tc>
        <w:tc>
          <w:tcPr>
            <w:tcW w:type="dxa" w:w="1728"/>
          </w:tcPr>
          <w:p>
            <w:r>
              <w:rPr>
                <w:rFonts w:ascii="Calibri" w:hAnsi="Calibri"/>
                <w:sz w:val="22"/>
              </w:rPr>
              <w:t>37,785 units</w:t>
            </w:r>
          </w:p>
        </w:tc>
        <w:tc>
          <w:tcPr>
            <w:tcW w:type="dxa" w:w="1728"/>
          </w:tcPr>
          <w:p>
            <w:r>
              <w:rPr>
                <w:rFonts w:ascii="Calibri" w:hAnsi="Calibri"/>
                <w:sz w:val="22"/>
              </w:rPr>
              <w:t>Unchanged; consensus tracking to high end of range</w:t>
            </w:r>
          </w:p>
        </w:tc>
      </w:tr>
      <w:tr>
        <w:tc>
          <w:tcPr>
            <w:tcW w:type="dxa" w:w="1728"/>
          </w:tcPr>
          <w:p>
            <w:r>
              <w:rPr>
                <w:rFonts w:ascii="Calibri" w:hAnsi="Calibri"/>
                <w:sz w:val="22"/>
              </w:rPr>
              <w:t>Q2 2026 Truck, Parts &amp; Other Gross Margin</w:t>
            </w:r>
          </w:p>
        </w:tc>
        <w:tc>
          <w:tcPr>
            <w:tcW w:type="dxa" w:w="1728"/>
          </w:tcPr>
          <w:p>
            <w:r>
              <w:rPr>
                <w:rFonts w:ascii="Calibri" w:hAnsi="Calibri"/>
                <w:sz w:val="22"/>
              </w:rPr>
              <w:t>~13.5%</w:t>
            </w:r>
          </w:p>
        </w:tc>
        <w:tc>
          <w:tcPr>
            <w:tcW w:type="dxa" w:w="1728"/>
          </w:tcPr>
          <w:p>
            <w:r>
              <w:rPr>
                <w:rFonts w:ascii="Calibri" w:hAnsi="Calibri"/>
                <w:sz w:val="22"/>
              </w:rPr>
              <w:t>—</w:t>
            </w:r>
          </w:p>
        </w:tc>
        <w:tc>
          <w:tcPr>
            <w:tcW w:type="dxa" w:w="1728"/>
          </w:tcPr>
          <w:p>
            <w:r>
              <w:rPr>
                <w:rFonts w:ascii="Calibri" w:hAnsi="Calibri"/>
                <w:sz w:val="22"/>
              </w:rPr>
              <w:t>~13.5% (mgmt guided)</w:t>
            </w:r>
          </w:p>
        </w:tc>
        <w:tc>
          <w:tcPr>
            <w:tcW w:type="dxa" w:w="1728"/>
          </w:tcPr>
          <w:p>
            <w:r>
              <w:rPr>
                <w:rFonts w:ascii="Calibri" w:hAnsi="Calibri"/>
                <w:sz w:val="22"/>
              </w:rPr>
              <w:t>Unchanged; driven by volume leverage, partially offset by raw material costs</w:t>
            </w:r>
          </w:p>
        </w:tc>
      </w:tr>
      <w:tr>
        <w:tc>
          <w:tcPr>
            <w:tcW w:type="dxa" w:w="1728"/>
          </w:tcPr>
          <w:p>
            <w:r>
              <w:rPr>
                <w:rFonts w:ascii="Calibri" w:hAnsi="Calibri"/>
                <w:sz w:val="22"/>
              </w:rPr>
              <w:t>FY 2026 Parts Revenue Growth</w:t>
            </w:r>
          </w:p>
        </w:tc>
        <w:tc>
          <w:tcPr>
            <w:tcW w:type="dxa" w:w="1728"/>
          </w:tcPr>
          <w:p>
            <w:r>
              <w:rPr>
                <w:rFonts w:ascii="Calibri" w:hAnsi="Calibri"/>
                <w:sz w:val="22"/>
              </w:rPr>
              <w:t>+3% to +6% YoY; ~+3% in Q2</w:t>
            </w:r>
          </w:p>
        </w:tc>
        <w:tc>
          <w:tcPr>
            <w:tcW w:type="dxa" w:w="1728"/>
          </w:tcPr>
          <w:p>
            <w:r>
              <w:rPr>
                <w:rFonts w:ascii="Calibri" w:hAnsi="Calibri"/>
                <w:sz w:val="22"/>
              </w:rPr>
              <w:t>—</w:t>
            </w:r>
          </w:p>
        </w:tc>
        <w:tc>
          <w:tcPr>
            <w:tcW w:type="dxa" w:w="1728"/>
          </w:tcPr>
          <w:p>
            <w:r>
              <w:rPr>
                <w:rFonts w:ascii="Calibri" w:hAnsi="Calibri"/>
                <w:sz w:val="22"/>
              </w:rPr>
              <w:t>$7.16B (+3.5% YoY)</w:t>
            </w:r>
          </w:p>
        </w:tc>
        <w:tc>
          <w:tcPr>
            <w:tcW w:type="dxa" w:w="1728"/>
          </w:tcPr>
          <w:p>
            <w:r>
              <w:rPr>
                <w:rFonts w:ascii="Calibri" w:hAnsi="Calibri"/>
                <w:sz w:val="22"/>
              </w:rPr>
              <w:t>Unchanged; consensus in-line with guidance midpoint</w:t>
            </w:r>
          </w:p>
        </w:tc>
      </w:tr>
      <w:tr>
        <w:tc>
          <w:tcPr>
            <w:tcW w:type="dxa" w:w="1728"/>
          </w:tcPr>
          <w:p>
            <w:r>
              <w:rPr>
                <w:rFonts w:ascii="Calibri" w:hAnsi="Calibri"/>
                <w:sz w:val="22"/>
              </w:rPr>
              <w:t>FY 2026 NA Class 8 Industry Market</w:t>
            </w:r>
          </w:p>
        </w:tc>
        <w:tc>
          <w:tcPr>
            <w:tcW w:type="dxa" w:w="1728"/>
          </w:tcPr>
          <w:p>
            <w:r>
              <w:rPr>
                <w:rFonts w:ascii="Calibri" w:hAnsi="Calibri"/>
                <w:sz w:val="22"/>
              </w:rPr>
              <w:t>230,000–270,000 units</w:t>
            </w:r>
          </w:p>
        </w:tc>
        <w:tc>
          <w:tcPr>
            <w:tcW w:type="dxa" w:w="1728"/>
          </w:tcPr>
          <w:p>
            <w:r>
              <w:rPr>
                <w:rFonts w:ascii="Calibri" w:hAnsi="Calibri"/>
                <w:sz w:val="22"/>
              </w:rPr>
              <w:t>—</w:t>
            </w:r>
          </w:p>
        </w:tc>
        <w:tc>
          <w:tcPr>
            <w:tcW w:type="dxa" w:w="1728"/>
          </w:tcPr>
          <w:p>
            <w:r>
              <w:rPr>
                <w:rFonts w:ascii="Calibri" w:hAnsi="Calibri"/>
                <w:sz w:val="22"/>
              </w:rPr>
              <w:t>~250,000 units (midpoint)</w:t>
            </w:r>
          </w:p>
        </w:tc>
        <w:tc>
          <w:tcPr>
            <w:tcW w:type="dxa" w:w="1728"/>
          </w:tcPr>
          <w:p>
            <w:r>
              <w:rPr>
                <w:rFonts w:ascii="Calibri" w:hAnsi="Calibri"/>
                <w:sz w:val="22"/>
              </w:rPr>
              <w:t>Unchanged; wide range reflects pre-buy uncertainty</w:t>
            </w:r>
          </w:p>
        </w:tc>
      </w:tr>
      <w:tr>
        <w:tc>
          <w:tcPr>
            <w:tcW w:type="dxa" w:w="1728"/>
          </w:tcPr>
          <w:p>
            <w:r>
              <w:rPr>
                <w:rFonts w:ascii="Calibri" w:hAnsi="Calibri"/>
                <w:sz w:val="22"/>
              </w:rPr>
              <w:t>Section 232 Tariff Credits (3.75% MSRP)</w:t>
            </w:r>
          </w:p>
        </w:tc>
        <w:tc>
          <w:tcPr>
            <w:tcW w:type="dxa" w:w="1728"/>
          </w:tcPr>
          <w:p>
            <w:r>
              <w:rPr>
                <w:rFonts w:ascii="Calibri" w:hAnsi="Calibri"/>
                <w:sz w:val="22"/>
              </w:rPr>
              <w:t>Expected "in the not-distant future"</w:t>
            </w:r>
          </w:p>
        </w:tc>
        <w:tc>
          <w:tcPr>
            <w:tcW w:type="dxa" w:w="1728"/>
          </w:tcPr>
          <w:p>
            <w:r>
              <w:rPr>
                <w:rFonts w:ascii="Calibri" w:hAnsi="Calibri"/>
                <w:sz w:val="22"/>
              </w:rPr>
              <w:t>—</w:t>
            </w:r>
          </w:p>
        </w:tc>
        <w:tc>
          <w:tcPr>
            <w:tcW w:type="dxa" w:w="1728"/>
          </w:tcPr>
          <w:p>
            <w:r>
              <w:rPr>
                <w:rFonts w:ascii="Calibri" w:hAnsi="Calibri"/>
                <w:sz w:val="22"/>
              </w:rPr>
              <w:t>N/A — not in consensus</w:t>
            </w:r>
          </w:p>
        </w:tc>
        <w:tc>
          <w:tcPr>
            <w:tcW w:type="dxa" w:w="1728"/>
          </w:tcPr>
          <w:p>
            <w:r>
              <w:rPr>
                <w:rFonts w:ascii="Calibri" w:hAnsi="Calibri"/>
                <w:sz w:val="22"/>
              </w:rPr>
              <w:t>Timing uncertain; upside risk to truck margins if received in Q2</w:t>
            </w:r>
          </w:p>
        </w:tc>
      </w:tr>
      <w:tr>
        <w:tc>
          <w:tcPr>
            <w:tcW w:type="dxa" w:w="1728"/>
          </w:tcPr>
          <w:p>
            <w:r>
              <w:rPr>
                <w:rFonts w:ascii="Calibri" w:hAnsi="Calibri"/>
                <w:sz w:val="22"/>
              </w:rPr>
              <w:t>Price/Cost Outlook</w:t>
            </w:r>
          </w:p>
        </w:tc>
        <w:tc>
          <w:tcPr>
            <w:tcW w:type="dxa" w:w="1728"/>
          </w:tcPr>
          <w:p>
            <w:r>
              <w:rPr>
                <w:rFonts w:ascii="Calibri" w:hAnsi="Calibri"/>
                <w:sz w:val="22"/>
              </w:rPr>
              <w:t>Favorable throughout 2026; price up &gt;1% sequentially in Q1, cost down &gt;1%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raw material volatility (steel, aluminum, energy) flagged as partial offset</w:t>
            </w:r>
          </w:p>
        </w:tc>
      </w:tr>
    </w:tbl>
    <w:p>
      <w:r>
        <w:rPr>
          <w:rFonts w:ascii="Calibri" w:hAnsi="Calibri"/>
          <w:i/>
          <w:color w:val="525866"/>
          <w:sz w:val="22"/>
        </w:rPr>
        <w:t>Source: PACCAR Q1 2026 Earnings Call Transcript (April 28,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Q1 print across all key KPIs, tracking management's guidance closely with no meaningful divergence. </w:t>
      </w:r>
      <w:r>
        <w:rPr>
          <w:rFonts w:ascii="Calibri" w:hAnsi="Calibri"/>
          <w:b/>
          <w:color w:val="525866"/>
          <w:sz w:val="22"/>
        </w:rPr>
        <w:t>The lack of a gap between guidance and consensus is a neutral signal</w:t>
      </w:r>
      <w:r>
        <w:rPr>
          <w:rFonts w:ascii="Calibri" w:hAnsi="Calibri"/>
          <w:color w:val="525866"/>
          <w:sz w:val="22"/>
        </w:rPr>
        <w:t xml:space="preserve"> — there is no embedded cushion for a beat, but also no risk of a guidance-driven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(May 5, 2026 — Post-Q1 Baseline)</w:t>
            </w:r>
          </w:p>
        </w:tc>
        <w:tc>
          <w:tcPr>
            <w:tcW w:type="dxa" w:w="1080"/>
          </w:tcPr>
          <w:p>
            <w:r>
              <w:rPr>
                <w:rFonts w:ascii="Calibri" w:hAnsi="Calibri"/>
                <w:b/>
                <w:sz w:val="22"/>
              </w:rPr>
              <w:t>Current Consensus</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w:t>
            </w:r>
          </w:p>
        </w:tc>
      </w:tr>
      <w:tr>
        <w:tc>
          <w:tcPr>
            <w:tcW w:type="dxa" w:w="1080"/>
          </w:tcPr>
          <w:p>
            <w:r>
              <w:rPr>
                <w:rFonts w:ascii="Calibri" w:hAnsi="Calibri"/>
                <w:sz w:val="22"/>
              </w:rPr>
              <w:t>Total Revenue (Q2 2026)</w:t>
            </w:r>
          </w:p>
        </w:tc>
        <w:tc>
          <w:tcPr>
            <w:tcW w:type="dxa" w:w="1080"/>
          </w:tcPr>
          <w:p>
            <w:r>
              <w:rPr>
                <w:rFonts w:ascii="Calibri" w:hAnsi="Calibri"/>
                <w:sz w:val="22"/>
              </w:rPr>
              <w:t>$7.528B</w:t>
            </w:r>
          </w:p>
        </w:tc>
        <w:tc>
          <w:tcPr>
            <w:tcW w:type="dxa" w:w="1080"/>
          </w:tcPr>
          <w:p>
            <w:r>
              <w:rPr>
                <w:rFonts w:ascii="Calibri" w:hAnsi="Calibri"/>
                <w:sz w:val="22"/>
              </w:rPr>
              <w:t>$7.559B</w:t>
            </w:r>
          </w:p>
        </w:tc>
        <w:tc>
          <w:tcPr>
            <w:tcW w:type="dxa" w:w="1080"/>
          </w:tcPr>
          <w:p>
            <w:r>
              <w:rPr>
                <w:rFonts w:ascii="Calibri" w:hAnsi="Calibri"/>
                <w:sz w:val="22"/>
              </w:rPr>
              <w:t>+0.4%</w:t>
            </w:r>
          </w:p>
        </w:tc>
        <w:tc>
          <w:tcPr>
            <w:tcW w:type="dxa" w:w="1080"/>
          </w:tcPr>
          <w:p>
            <w:r>
              <w:rPr>
                <w:rFonts w:ascii="Calibri" w:hAnsi="Calibri"/>
                <w:sz w:val="22"/>
              </w:rPr>
              <w:t>Implied by 37–38k deliveries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(Q2 2026)</w:t>
            </w:r>
          </w:p>
        </w:tc>
        <w:tc>
          <w:tcPr>
            <w:tcW w:type="dxa" w:w="1080"/>
          </w:tcPr>
          <w:p>
            <w:r>
              <w:rPr>
                <w:rFonts w:ascii="Calibri" w:hAnsi="Calibri"/>
                <w:sz w:val="22"/>
              </w:rPr>
              <w:t>$1.350</w:t>
            </w:r>
          </w:p>
        </w:tc>
        <w:tc>
          <w:tcPr>
            <w:tcW w:type="dxa" w:w="1080"/>
          </w:tcPr>
          <w:p>
            <w:r>
              <w:rPr>
                <w:rFonts w:ascii="Calibri" w:hAnsi="Calibri"/>
                <w:sz w:val="22"/>
              </w:rPr>
              <w:t>$1.342</w:t>
            </w:r>
          </w:p>
        </w:tc>
        <w:tc>
          <w:tcPr>
            <w:tcW w:type="dxa" w:w="1080"/>
          </w:tcPr>
          <w:p>
            <w:r>
              <w:rPr>
                <w:rFonts w:ascii="Calibri" w:hAnsi="Calibri"/>
                <w:sz w:val="22"/>
              </w:rPr>
              <w:t>-0.6%</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Margin — Truck (%) (Q2 2026)</w:t>
            </w:r>
          </w:p>
        </w:tc>
        <w:tc>
          <w:tcPr>
            <w:tcW w:type="dxa" w:w="1080"/>
          </w:tcPr>
          <w:p>
            <w:r>
              <w:rPr>
                <w:rFonts w:ascii="Calibri" w:hAnsi="Calibri"/>
                <w:sz w:val="22"/>
              </w:rPr>
              <w:t>7.96%</w:t>
            </w:r>
          </w:p>
        </w:tc>
        <w:tc>
          <w:tcPr>
            <w:tcW w:type="dxa" w:w="1080"/>
          </w:tcPr>
          <w:p>
            <w:r>
              <w:rPr>
                <w:rFonts w:ascii="Calibri" w:hAnsi="Calibri"/>
                <w:sz w:val="22"/>
              </w:rPr>
              <w:t>7.98%</w:t>
            </w:r>
          </w:p>
        </w:tc>
        <w:tc>
          <w:tcPr>
            <w:tcW w:type="dxa" w:w="1080"/>
          </w:tcPr>
          <w:p>
            <w:r>
              <w:rPr>
                <w:rFonts w:ascii="Calibri" w:hAnsi="Calibri"/>
                <w:sz w:val="22"/>
              </w:rPr>
              <w:t>+2 bps</w:t>
            </w:r>
          </w:p>
        </w:tc>
        <w:tc>
          <w:tcPr>
            <w:tcW w:type="dxa" w:w="1080"/>
          </w:tcPr>
          <w:p>
            <w:r>
              <w:rPr>
                <w:rFonts w:ascii="Calibri" w:hAnsi="Calibri"/>
                <w:sz w:val="22"/>
              </w:rPr>
              <w:t>Expansion from Q1 (7.0%)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Deliveries (Q2 2026)</w:t>
            </w:r>
          </w:p>
        </w:tc>
        <w:tc>
          <w:tcPr>
            <w:tcW w:type="dxa" w:w="1080"/>
          </w:tcPr>
          <w:p>
            <w:r>
              <w:rPr>
                <w:rFonts w:ascii="Calibri" w:hAnsi="Calibri"/>
                <w:sz w:val="22"/>
              </w:rPr>
              <w:t>37,665 units</w:t>
            </w:r>
          </w:p>
        </w:tc>
        <w:tc>
          <w:tcPr>
            <w:tcW w:type="dxa" w:w="1080"/>
          </w:tcPr>
          <w:p>
            <w:r>
              <w:rPr>
                <w:rFonts w:ascii="Calibri" w:hAnsi="Calibri"/>
                <w:sz w:val="22"/>
              </w:rPr>
              <w:t>37,785 units</w:t>
            </w:r>
          </w:p>
        </w:tc>
        <w:tc>
          <w:tcPr>
            <w:tcW w:type="dxa" w:w="1080"/>
          </w:tcPr>
          <w:p>
            <w:r>
              <w:rPr>
                <w:rFonts w:ascii="Calibri" w:hAnsi="Calibri"/>
                <w:sz w:val="22"/>
              </w:rPr>
              <w:t>+0.3%</w:t>
            </w:r>
          </w:p>
        </w:tc>
        <w:tc>
          <w:tcPr>
            <w:tcW w:type="dxa" w:w="1080"/>
          </w:tcPr>
          <w:p>
            <w:r>
              <w:rPr>
                <w:rFonts w:ascii="Calibri" w:hAnsi="Calibri"/>
                <w:sz w:val="22"/>
              </w:rPr>
              <w:t>37,000–38,000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+2.1% above midpoint</w:t>
            </w:r>
          </w:p>
        </w:tc>
      </w:tr>
      <w:tr>
        <w:tc>
          <w:tcPr>
            <w:tcW w:type="dxa" w:w="1080"/>
          </w:tcPr>
          <w:p>
            <w:r>
              <w:rPr>
                <w:rFonts w:ascii="Calibri" w:hAnsi="Calibri"/>
                <w:sz w:val="22"/>
              </w:rPr>
              <w:t>Parts Revenue (Q2 2026)</w:t>
            </w:r>
          </w:p>
        </w:tc>
        <w:tc>
          <w:tcPr>
            <w:tcW w:type="dxa" w:w="1080"/>
          </w:tcPr>
          <w:p>
            <w:r>
              <w:rPr>
                <w:rFonts w:ascii="Calibri" w:hAnsi="Calibri"/>
                <w:sz w:val="22"/>
              </w:rPr>
              <w:t>$1.774B</w:t>
            </w:r>
          </w:p>
        </w:tc>
        <w:tc>
          <w:tcPr>
            <w:tcW w:type="dxa" w:w="1080"/>
          </w:tcPr>
          <w:p>
            <w:r>
              <w:rPr>
                <w:rFonts w:ascii="Calibri" w:hAnsi="Calibri"/>
                <w:sz w:val="22"/>
              </w:rPr>
              <w:t>$1.771B</w:t>
            </w:r>
          </w:p>
        </w:tc>
        <w:tc>
          <w:tcPr>
            <w:tcW w:type="dxa" w:w="1080"/>
          </w:tcPr>
          <w:p>
            <w:r>
              <w:rPr>
                <w:rFonts w:ascii="Calibri" w:hAnsi="Calibri"/>
                <w:sz w:val="22"/>
              </w:rPr>
              <w:t>-0.1%</w:t>
            </w:r>
          </w:p>
        </w:tc>
        <w:tc>
          <w:tcPr>
            <w:tcW w:type="dxa" w:w="1080"/>
          </w:tcPr>
          <w:p>
            <w:r>
              <w:rPr>
                <w:rFonts w:ascii="Calibri" w:hAnsi="Calibri"/>
                <w:sz w:val="22"/>
              </w:rPr>
              <w:t>~+3% QoQ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Total Revenue (FY 2026)</w:t>
            </w:r>
          </w:p>
        </w:tc>
        <w:tc>
          <w:tcPr>
            <w:tcW w:type="dxa" w:w="1080"/>
          </w:tcPr>
          <w:p>
            <w:r>
              <w:rPr>
                <w:rFonts w:ascii="Calibri" w:hAnsi="Calibri"/>
                <w:sz w:val="22"/>
              </w:rPr>
              <w:t>$30.326B</w:t>
            </w:r>
          </w:p>
        </w:tc>
        <w:tc>
          <w:tcPr>
            <w:tcW w:type="dxa" w:w="1080"/>
          </w:tcPr>
          <w:p>
            <w:r>
              <w:rPr>
                <w:rFonts w:ascii="Calibri" w:hAnsi="Calibri"/>
                <w:sz w:val="22"/>
              </w:rPr>
              <w:t>$30.481B</w:t>
            </w:r>
          </w:p>
        </w:tc>
        <w:tc>
          <w:tcPr>
            <w:tcW w:type="dxa" w:w="1080"/>
          </w:tcPr>
          <w:p>
            <w:r>
              <w:rPr>
                <w:rFonts w:ascii="Calibri" w:hAnsi="Calibri"/>
                <w:sz w:val="22"/>
              </w:rPr>
              <w:t>+0.5%</w:t>
            </w:r>
          </w:p>
        </w:tc>
        <w:tc>
          <w:tcPr>
            <w:tcW w:type="dxa" w:w="1080"/>
          </w:tcPr>
          <w:p>
            <w:r>
              <w:rPr>
                <w:rFonts w:ascii="Calibri" w:hAnsi="Calibri"/>
                <w:sz w:val="22"/>
              </w:rPr>
              <w:t>No explicit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$5.619</w:t>
            </w:r>
          </w:p>
        </w:tc>
        <w:tc>
          <w:tcPr>
            <w:tcW w:type="dxa" w:w="1080"/>
          </w:tcPr>
          <w:p>
            <w:r>
              <w:rPr>
                <w:rFonts w:ascii="Calibri" w:hAnsi="Calibri"/>
                <w:sz w:val="22"/>
              </w:rPr>
              <w:t>$5.639</w:t>
            </w:r>
          </w:p>
        </w:tc>
        <w:tc>
          <w:tcPr>
            <w:tcW w:type="dxa" w:w="1080"/>
          </w:tcPr>
          <w:p>
            <w:r>
              <w:rPr>
                <w:rFonts w:ascii="Calibri" w:hAnsi="Calibri"/>
                <w:sz w:val="22"/>
              </w:rPr>
              <w:t>+0.4%</w:t>
            </w:r>
          </w:p>
        </w:tc>
        <w:tc>
          <w:tcPr>
            <w:tcW w:type="dxa" w:w="1080"/>
          </w:tcPr>
          <w:p>
            <w:r>
              <w:rPr>
                <w:rFonts w:ascii="Calibri" w:hAnsi="Calibri"/>
                <w:sz w:val="22"/>
              </w:rPr>
              <w:t>No explicit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moved modestly higher across the board since the Q1 print, consistent with management's constructive guidance. The absence of any guidance revision since April 28 means the consensus is essentially anchored to the Q1 call, with no new information to drive a step-change in either direction.</w:t>
      </w:r>
    </w:p>
    <w:p>
      <w:r>
        <w:rPr>
          <w:rFonts w:ascii="Calibri" w:hAnsi="Calibri"/>
          <w:i/>
          <w:color w:val="525866"/>
          <w:sz w:val="22"/>
        </w:rPr>
        <w:t>Source: Visible Alpha Consensus and Actuals Data (as-of date: May 5, 2026; current as of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PCAR has outperformed both the Industrials sector (XLI) and the S&amp;P 500 since Q1 earnings, with the stock up </w:t>
      </w:r>
      <w:r>
        <w:rPr>
          <w:rFonts w:ascii="Calibri" w:hAnsi="Calibri"/>
          <w:b/>
          <w:color w:val="525866"/>
          <w:sz w:val="22"/>
        </w:rPr>
        <w:t>+11.6% vs. XLI +7.1% and SPY +3.8%</w:t>
      </w:r>
      <w:r>
        <w:rPr>
          <w:rFonts w:ascii="Calibri" w:hAnsi="Calibri"/>
          <w:color w:val="525866"/>
          <w:sz w:val="22"/>
        </w:rPr>
        <w:t xml:space="preserve">. The outperformance is primarily </w:t>
      </w:r>
      <w:r>
        <w:rPr>
          <w:rFonts w:ascii="Calibri" w:hAnsi="Calibri"/>
          <w:b/>
          <w:color w:val="525866"/>
          <w:sz w:val="22"/>
        </w:rPr>
        <w:t>multiple-driven</w:t>
      </w:r>
      <w:r>
        <w:rPr>
          <w:rFonts w:ascii="Calibri" w:hAnsi="Calibri"/>
          <w:color w:val="525866"/>
          <w:sz w:val="22"/>
        </w:rPr>
        <w:t xml:space="preserve"> — the truck margin trough thesis has been validated and the market is pricing in the H2 2026 volume ramp, but the stock's recovery from its mid-May trough (indexed ~91) to current levels means the easy money has been made.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PCAR vs. XLI (Industrials ETF) vs. S&amp;P 500 — Indexed to 100 at Q1 2026 Earnings (April 28, 2026). Source: Stock Price Data.</w:t>
      </w:r>
    </w:p>
    <w:p>
      <w:pPr>
        <w:pStyle w:val="ListBullet"/>
        <w:ind w:left="360" w:hanging="360"/>
      </w:pPr>
      <w:r>
        <w:rPr>
          <w:rFonts w:ascii="Calibri" w:hAnsi="Calibri"/>
          <w:b/>
          <w:color w:val="525866"/>
          <w:sz w:val="22"/>
        </w:rPr>
        <w:t xml:space="preserve">Earnings Day (Apr 28): </w:t>
      </w:r>
      <w:r>
        <w:rPr>
          <w:rFonts w:ascii="Calibri" w:hAnsi="Calibri"/>
          <w:color w:val="525866"/>
          <w:sz w:val="22"/>
        </w:rPr>
        <w:t>Stock fell ~6% on the day despite an EPS beat, as the revenue miss and still-competitive pricing environment weighed on sentiment. PCAR opened at $127.20 pre-earnings and closed at $119.61 post-print.</w:t>
      </w:r>
    </w:p>
    <w:p>
      <w:pPr>
        <w:pStyle w:val="ListBullet"/>
        <w:ind w:left="360" w:hanging="360"/>
      </w:pPr>
      <w:r>
        <w:rPr>
          <w:rFonts w:ascii="Calibri" w:hAnsi="Calibri"/>
          <w:b/>
          <w:color w:val="525866"/>
          <w:sz w:val="22"/>
        </w:rPr>
        <w:t xml:space="preserve">May Trough (May 19–21): </w:t>
      </w:r>
      <w:r>
        <w:rPr>
          <w:rFonts w:ascii="Calibri" w:hAnsi="Calibri"/>
          <w:color w:val="525866"/>
          <w:sz w:val="22"/>
        </w:rPr>
        <w:t>PCAR hit its post-earnings low of ~$109 (indexed ~91), underperforming XLI and SPY as macro uncertainty and soft freight data weighed on the group. The CMI Analyst Day (May 21) provided a positive read-through on EPA 2027 pre-buy dynamics.</w:t>
      </w:r>
    </w:p>
    <w:p>
      <w:pPr>
        <w:pStyle w:val="ListBullet"/>
        <w:ind w:left="360" w:hanging="360"/>
      </w:pPr>
      <w:r>
        <w:rPr>
          <w:rFonts w:ascii="Calibri" w:hAnsi="Calibri"/>
          <w:b/>
          <w:color w:val="525866"/>
          <w:sz w:val="22"/>
        </w:rPr>
        <w:t xml:space="preserve">Recovery (June–July): </w:t>
      </w:r>
      <w:r>
        <w:rPr>
          <w:rFonts w:ascii="Calibri" w:hAnsi="Calibri"/>
          <w:color w:val="525866"/>
          <w:sz w:val="22"/>
        </w:rPr>
        <w:t>PCAR staged a strong recovery, driven by improving freight market data (JBHT and KNX Q2 results confirming capacity tightening and rate acceleration), rising order intake, and growing conviction in the H2 2026 pre-buy thesis. The stock reached $133.44 as of July 28, 2026.</w:t>
      </w:r>
    </w:p>
    <w:p>
      <w:pPr>
        <w:pStyle w:val="ListBullet"/>
        <w:ind w:left="360" w:hanging="360"/>
      </w:pPr>
      <w:r>
        <w:rPr>
          <w:rFonts w:ascii="Calibri" w:hAnsi="Calibri"/>
          <w:b/>
          <w:color w:val="525866"/>
          <w:sz w:val="22"/>
        </w:rPr>
        <w:t xml:space="preserve">Sector ETF: </w:t>
      </w:r>
      <w:r>
        <w:rPr>
          <w:rFonts w:ascii="Calibri" w:hAnsi="Calibri"/>
          <w:color w:val="525866"/>
          <w:sz w:val="22"/>
        </w:rPr>
        <w:t>XLI (iShares U.S. Industrials ETF) was used as the sector benchmark, appropriate for PCAR's heavy equipment manufacturing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confirmation of a tightening freight market from Q2 2026 peer earnings (JBHT, KNX)</w:t>
      </w:r>
      <w:r>
        <w:rPr>
          <w:rFonts w:ascii="Calibri" w:hAnsi="Calibri"/>
          <w:color w:val="525866"/>
          <w:sz w:val="22"/>
        </w:rPr>
        <w:t>, which validates PCAR's H2 2026 volume ramp thesis and supports the pre-buy narrative heading into the EPA 2027 regulatory change.</w:t>
      </w:r>
    </w:p>
    <w:p>
      <w:pPr>
        <w:pStyle w:val="ListBullet"/>
        <w:ind w:left="360" w:hanging="360"/>
      </w:pPr>
      <w:r>
        <w:rPr>
          <w:rFonts w:ascii="Calibri" w:hAnsi="Calibri"/>
          <w:b/>
          <w:color w:val="525866"/>
          <w:sz w:val="22"/>
        </w:rPr>
        <w:t xml:space="preserve">July 22, 2026 — KNX Q2 2026 Earnings: </w:t>
      </w:r>
      <w:r>
        <w:rPr>
          <w:rFonts w:ascii="Calibri" w:hAnsi="Calibri"/>
          <w:color w:val="525866"/>
          <w:sz w:val="22"/>
        </w:rPr>
        <w:t xml:space="preserve">Knight-Swift reported Q2 results confirming rapid freight market tightening, with tender rejection rates at levels not seen since 2021 and double-digit rate increases secured in bids for Q3 2026. </w:t>
      </w:r>
      <w:r>
        <w:rPr>
          <w:rFonts w:ascii="Calibri" w:hAnsi="Calibri"/>
          <w:b/>
          <w:color w:val="525866"/>
          <w:sz w:val="22"/>
        </w:rPr>
        <w:t xml:space="preserve">Implication: </w:t>
      </w:r>
      <w:r>
        <w:rPr>
          <w:rFonts w:ascii="Calibri" w:hAnsi="Calibri"/>
          <w:color w:val="525866"/>
          <w:sz w:val="22"/>
        </w:rPr>
        <w:t>Tighter capacity and rising rates improve carrier economics, accelerating fleet replacement demand and supporting PCAR's H2 2026 order book.</w:t>
      </w:r>
    </w:p>
    <w:p>
      <w:pPr>
        <w:pStyle w:val="ListBullet"/>
        <w:ind w:left="360" w:hanging="360"/>
      </w:pPr>
      <w:r>
        <w:rPr>
          <w:rFonts w:ascii="Calibri" w:hAnsi="Calibri"/>
          <w:b/>
          <w:color w:val="525866"/>
          <w:sz w:val="22"/>
        </w:rPr>
        <w:t xml:space="preserve">July 15, 2026 — JBHT Q2 2026 Earnings: </w:t>
      </w:r>
      <w:r>
        <w:rPr>
          <w:rFonts w:ascii="Calibri" w:hAnsi="Calibri"/>
          <w:color w:val="525866"/>
          <w:sz w:val="22"/>
        </w:rPr>
        <w:t xml:space="preserve">J.B. Hunt reported record intermodal volumes (+10% YoY) and confirmed capacity tightening building throughout Q2, with a noticeable step-change around the May road check event. Dedicated truck sales pipeline at a record level. </w:t>
      </w:r>
      <w:r>
        <w:rPr>
          <w:rFonts w:ascii="Calibri" w:hAnsi="Calibri"/>
          <w:b/>
          <w:color w:val="525866"/>
          <w:sz w:val="22"/>
        </w:rPr>
        <w:t xml:space="preserve">Implication: </w:t>
      </w:r>
      <w:r>
        <w:rPr>
          <w:rFonts w:ascii="Calibri" w:hAnsi="Calibri"/>
          <w:color w:val="525866"/>
          <w:sz w:val="22"/>
        </w:rPr>
        <w:t>Record dedicated pipeline and improving carrier profitability are direct leading indicators of new truck demand for PCAR.</w:t>
      </w:r>
    </w:p>
    <w:p>
      <w:pPr>
        <w:pStyle w:val="ListBullet"/>
        <w:ind w:left="360" w:hanging="360"/>
      </w:pPr>
      <w:r>
        <w:rPr>
          <w:rFonts w:ascii="Calibri" w:hAnsi="Calibri"/>
          <w:b/>
          <w:color w:val="525866"/>
          <w:sz w:val="22"/>
        </w:rPr>
        <w:t xml:space="preserve">May 21, 2026 — Cummins Analyst Day: </w:t>
      </w:r>
      <w:r>
        <w:rPr>
          <w:rFonts w:ascii="Calibri" w:hAnsi="Calibri"/>
          <w:color w:val="525866"/>
          <w:sz w:val="22"/>
        </w:rPr>
        <w:t xml:space="preserve">CMI confirmed EPA 2027 adds ~$10,000 per truck in cost, with the majority in powertrain systems. Engine production ramping from 240/day in Q1 to 400/day by end of June. CMI explicitly stated Q3/Q4 2026 will be stronger than Q1 2027, validating the pre-buy pull-forward thesis. </w:t>
      </w:r>
      <w:r>
        <w:rPr>
          <w:rFonts w:ascii="Calibri" w:hAnsi="Calibri"/>
          <w:b/>
          <w:color w:val="525866"/>
          <w:sz w:val="22"/>
        </w:rPr>
        <w:t xml:space="preserve">Implication: </w:t>
      </w:r>
      <w:r>
        <w:rPr>
          <w:rFonts w:ascii="Calibri" w:hAnsi="Calibri"/>
          <w:color w:val="525866"/>
          <w:sz w:val="22"/>
        </w:rPr>
        <w:t>Positive read-through for PCAR's H2 2026 delivery ramp and margin expansion as volumes scale.</w:t>
      </w:r>
    </w:p>
    <w:p>
      <w:pPr>
        <w:pStyle w:val="ListBullet"/>
        <w:ind w:left="360" w:hanging="360"/>
      </w:pPr>
      <w:r>
        <w:rPr>
          <w:rFonts w:ascii="Calibri" w:hAnsi="Calibri"/>
          <w:b/>
          <w:color w:val="525866"/>
          <w:sz w:val="22"/>
        </w:rPr>
        <w:t xml:space="preserve">May 5, 2026 — Cummins Q1 2026 Earnings: </w:t>
      </w:r>
      <w:r>
        <w:rPr>
          <w:rFonts w:ascii="Calibri" w:hAnsi="Calibri"/>
          <w:color w:val="525866"/>
          <w:sz w:val="22"/>
        </w:rPr>
        <w:t xml:space="preserve">CMI raised its 2026 North America heavy-duty truck forecast to 230,000–250,000 units (from 220,000–240,000), citing strong recent orders and improving spot rates. Added a third production shift at Rocky Mount. </w:t>
      </w:r>
      <w:r>
        <w:rPr>
          <w:rFonts w:ascii="Calibri" w:hAnsi="Calibri"/>
          <w:b/>
          <w:color w:val="525866"/>
          <w:sz w:val="22"/>
        </w:rPr>
        <w:t xml:space="preserve">Implication: </w:t>
      </w:r>
      <w:r>
        <w:rPr>
          <w:rFonts w:ascii="Calibri" w:hAnsi="Calibri"/>
          <w:color w:val="525866"/>
          <w:sz w:val="22"/>
        </w:rPr>
        <w:t>Upward revision to industry forecast is directly supportive of PCAR's 230,000–270,000 unit market outlook and H2 ramp.</w:t>
      </w:r>
    </w:p>
    <w:p>
      <w:pPr>
        <w:pStyle w:val="ListBullet"/>
        <w:ind w:left="360" w:hanging="360"/>
      </w:pPr>
      <w:r>
        <w:rPr>
          <w:rFonts w:ascii="Calibri" w:hAnsi="Calibri"/>
          <w:b/>
          <w:color w:val="525866"/>
          <w:sz w:val="22"/>
        </w:rPr>
        <w:t xml:space="preserve">May 1, 2026 — PACCAR CEO Compensation 8-K: </w:t>
      </w:r>
      <w:r>
        <w:rPr>
          <w:rFonts w:ascii="Calibri" w:hAnsi="Calibri"/>
          <w:color w:val="525866"/>
          <w:sz w:val="22"/>
        </w:rPr>
        <w:t>CEO Preston Feight's 2025 compensation disclosed at $19.45 million; shareholders backed executive pay. No operational implications.</w:t>
      </w:r>
    </w:p>
    <w:p>
      <w:pPr>
        <w:pStyle w:val="ListBullet"/>
        <w:ind w:left="360" w:hanging="360"/>
      </w:pPr>
      <w:r>
        <w:rPr>
          <w:rFonts w:ascii="Calibri" w:hAnsi="Calibri"/>
          <w:b/>
          <w:color w:val="525866"/>
          <w:sz w:val="22"/>
        </w:rPr>
        <w:t xml:space="preserve">April 28, 2026 — PACCAR Q1 2026 Earnings Release: </w:t>
      </w:r>
      <w:r>
        <w:rPr>
          <w:rFonts w:ascii="Calibri" w:hAnsi="Calibri"/>
          <w:color w:val="525866"/>
          <w:sz w:val="22"/>
        </w:rPr>
        <w:t xml:space="preserve">Q1 EPS of $1.15 (modest beat), revenue of $6.78B (slight miss). Truck margins expanded from 12.0% to 13.1% sequentially. Management guided Q2 margins to ~13.5% and deliveries to 37,000–38,000 units. </w:t>
      </w:r>
      <w:r>
        <w:rPr>
          <w:rFonts w:ascii="Calibri" w:hAnsi="Calibri"/>
          <w:b/>
          <w:color w:val="525866"/>
          <w:sz w:val="22"/>
        </w:rPr>
        <w:t xml:space="preserve">Implication: </w:t>
      </w:r>
      <w:r>
        <w:rPr>
          <w:rFonts w:ascii="Calibri" w:hAnsi="Calibri"/>
          <w:color w:val="525866"/>
          <w:sz w:val="22"/>
        </w:rPr>
        <w:t>Confirmed the trough thesis; set the baseline for Q2 expectations.</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Q2 2026 earnings (JBHT, KNX) and forward-looking commentary from Q1 2026 prints (CMI, ATMU, WNC) collectively paint a </w:t>
      </w:r>
      <w:r>
        <w:rPr>
          <w:rFonts w:ascii="Calibri" w:hAnsi="Calibri"/>
          <w:b/>
          <w:color w:val="525866"/>
          <w:sz w:val="22"/>
        </w:rPr>
        <w:t>constructive picture for PCAR's Q2 print and H2 2026 outlook</w:t>
      </w:r>
      <w:r>
        <w:rPr>
          <w:rFonts w:ascii="Calibri" w:hAnsi="Calibri"/>
          <w:color w:val="525866"/>
          <w:sz w:val="22"/>
        </w:rPr>
        <w:t>: freight capacity is tightening faster than expected, carrier economics are improving, and the EPA 2027 pre-buy is beginning to materialize in order patterns. These are all positive read-throughs for truck demand and PCAR's volume ramp.</w:t>
      </w:r>
    </w:p>
    <w:p>
      <w:pPr>
        <w:pStyle w:val="Heading3"/>
      </w:pPr>
      <w:r>
        <w:rPr>
          <w:rFonts w:ascii="Calibri" w:hAnsi="Calibri"/>
          <w:b/>
          <w:color w:val="3B4259"/>
          <w:sz w:val="24"/>
        </w:rPr>
        <w:t>J.B. Hunt Transport (JBHT) — Q2 2026 Earnings (July 15, 2026)</w:t>
      </w:r>
    </w:p>
    <w:p>
      <w:r>
        <w:rPr>
          <w:rFonts w:ascii="Calibri" w:hAnsi="Calibri"/>
          <w:i/>
          <w:color w:val="525866"/>
          <w:sz w:val="22"/>
        </w:rPr>
        <w:t>Relevance: JBHT is a major fleet operator and one of PCAR's largest end customers. Its commentary on freight demand, capacity, and fleet purchasing intentions is a direct read-through for PCAR's truck demand outlook.</w:t>
      </w:r>
    </w:p>
    <w:p>
      <w:pPr>
        <w:pStyle w:val="ListBullet"/>
        <w:ind w:left="360" w:hanging="360"/>
      </w:pPr>
      <w:r>
        <w:rPr>
          <w:rFonts w:ascii="Calibri" w:hAnsi="Calibri"/>
          <w:b/>
          <w:color w:val="525866"/>
          <w:sz w:val="22"/>
        </w:rPr>
        <w:t xml:space="preserve">Freight capacity tightening accelerated through Q2: </w:t>
      </w:r>
      <w:r>
        <w:rPr>
          <w:rFonts w:ascii="Calibri" w:hAnsi="Calibri"/>
          <w:color w:val="525866"/>
          <w:sz w:val="22"/>
        </w:rPr>
        <w:t>"Capacity has tightened across the industry as safety-focused enforcement and broader supply pressures continue to affect available truckload capacity. We saw that tightening build throughout the quarter, including a noticeable step change around the annual road check event in early May that has persisted." This supply-driven tightening is improving carrier economics and accelerating replacement demand.</w:t>
      </w:r>
    </w:p>
    <w:p>
      <w:pPr>
        <w:pStyle w:val="ListBullet"/>
        <w:ind w:left="360" w:hanging="360"/>
      </w:pPr>
      <w:r>
        <w:rPr>
          <w:rFonts w:ascii="Calibri" w:hAnsi="Calibri"/>
          <w:b/>
          <w:color w:val="525866"/>
          <w:sz w:val="22"/>
        </w:rPr>
        <w:t xml:space="preserve">Record dedicated truck sales pipeline: </w:t>
      </w:r>
      <w:r>
        <w:rPr>
          <w:rFonts w:ascii="Calibri" w:hAnsi="Calibri"/>
          <w:color w:val="525866"/>
          <w:sz w:val="22"/>
        </w:rPr>
        <w:t xml:space="preserve">JBHT's dedicated truck sales pipeline is at a record level in terms of number of trucks, driven by tightening truckload market conditions pushing customers toward dedicated solutions. JBHT expects to return to fleet growth in 2026. </w:t>
      </w:r>
      <w:r>
        <w:rPr>
          <w:rFonts w:ascii="Calibri" w:hAnsi="Calibri"/>
          <w:b/>
          <w:color w:val="525866"/>
          <w:sz w:val="22"/>
        </w:rPr>
        <w:t xml:space="preserve">Direct read-through: </w:t>
      </w:r>
      <w:r>
        <w:rPr>
          <w:rFonts w:ascii="Calibri" w:hAnsi="Calibri"/>
          <w:color w:val="525866"/>
          <w:sz w:val="22"/>
        </w:rPr>
        <w:t>Record pipeline translates to new truck orders for PCAR's Kenworth and Peterbilt brands.</w:t>
      </w:r>
    </w:p>
    <w:p>
      <w:pPr>
        <w:pStyle w:val="ListBullet"/>
        <w:ind w:left="360" w:hanging="360"/>
      </w:pPr>
      <w:r>
        <w:rPr>
          <w:rFonts w:ascii="Calibri" w:hAnsi="Calibri"/>
          <w:b/>
          <w:color w:val="525866"/>
          <w:sz w:val="22"/>
        </w:rPr>
        <w:t xml:space="preserve">Demand improving modestly, supply-driven tightness dominant: </w:t>
      </w:r>
      <w:r>
        <w:rPr>
          <w:rFonts w:ascii="Calibri" w:hAnsi="Calibri"/>
          <w:color w:val="525866"/>
          <w:sz w:val="22"/>
        </w:rPr>
        <w:t>"Overall freight demand improved modestly from the first quarter... the current market tightness is being driven primarily by supply conditions." Industrial markets improving; U.S. consumer demand resilient.</w:t>
      </w:r>
    </w:p>
    <w:p>
      <w:pPr>
        <w:pStyle w:val="ListBullet"/>
        <w:ind w:left="360" w:hanging="360"/>
      </w:pPr>
      <w:r>
        <w:rPr>
          <w:rFonts w:ascii="Calibri" w:hAnsi="Calibri"/>
          <w:b/>
          <w:color w:val="525866"/>
          <w:sz w:val="22"/>
        </w:rPr>
        <w:t xml:space="preserve">Double-digit rate increases secured for Q3: </w:t>
      </w:r>
      <w:r>
        <w:rPr>
          <w:rFonts w:ascii="Calibri" w:hAnsi="Calibri"/>
          <w:color w:val="525866"/>
          <w:sz w:val="22"/>
        </w:rPr>
        <w:t>JBHT secured double-digit rate increases in ICS and is seeing out-of-cycle mini-bids accelerate. Improving carrier profitability is the precondition for fleet replacement spending.</w:t>
      </w:r>
    </w:p>
    <w:p>
      <w:pPr>
        <w:pStyle w:val="ListBullet"/>
        <w:ind w:left="360" w:hanging="360"/>
      </w:pPr>
      <w:r>
        <w:rPr>
          <w:rFonts w:ascii="Calibri" w:hAnsi="Calibri"/>
          <w:b/>
          <w:color w:val="525866"/>
          <w:sz w:val="22"/>
        </w:rPr>
        <w:t xml:space="preserve">Fleet purchasing: </w:t>
      </w:r>
      <w:r>
        <w:rPr>
          <w:rFonts w:ascii="Calibri" w:hAnsi="Calibri"/>
          <w:color w:val="525866"/>
          <w:sz w:val="22"/>
        </w:rPr>
        <w:t>JBHT sold ~250 trucks in Q2 and remains on track for 1,000–1,200 gross truck purchases for the full year. Intermodal container capacity available; tractor/driver capacity not pre-funded, suggesting incremental tractor demand ahead.</w:t>
      </w:r>
    </w:p>
    <w:p>
      <w:pPr>
        <w:pStyle w:val="Heading3"/>
      </w:pPr>
      <w:r>
        <w:rPr>
          <w:rFonts w:ascii="Calibri" w:hAnsi="Calibri"/>
          <w:b/>
          <w:color w:val="3B4259"/>
          <w:sz w:val="24"/>
        </w:rPr>
        <w:t>Knight-Swift Transportation (KNX) — Q2 2026 Earnings (July 22, 2026)</w:t>
      </w:r>
    </w:p>
    <w:p>
      <w:r>
        <w:rPr>
          <w:rFonts w:ascii="Calibri" w:hAnsi="Calibri"/>
          <w:i/>
          <w:color w:val="525866"/>
          <w:sz w:val="22"/>
        </w:rPr>
        <w:t>Relevance: KNX is one of the largest truckload carriers in North America and a significant buyer of Class 8 trucks. Its commentary on market conditions and fleet intentions is a key read-through for PCAR's demand outlook.</w:t>
      </w:r>
    </w:p>
    <w:p>
      <w:pPr>
        <w:pStyle w:val="ListBullet"/>
        <w:ind w:left="360" w:hanging="360"/>
      </w:pPr>
      <w:r>
        <w:rPr>
          <w:rFonts w:ascii="Calibri" w:hAnsi="Calibri"/>
          <w:b/>
          <w:color w:val="525866"/>
          <w:sz w:val="22"/>
        </w:rPr>
        <w:t xml:space="preserve">Freight market tightening is rapid and supply-driven: </w:t>
      </w:r>
      <w:r>
        <w:rPr>
          <w:rFonts w:ascii="Calibri" w:hAnsi="Calibri"/>
          <w:color w:val="525866"/>
          <w:sz w:val="22"/>
        </w:rPr>
        <w:t>Spot rates trending significantly ahead of normal seasonality; tender rejection rates at levels not seen since 2021. "This cycle is perceived as different from previous ones, being more supply-driven, which suggests it could be more durable." A more durable cycle is more supportive of genuine fleet replacement (vs. short-cycle pre-buy).</w:t>
      </w:r>
    </w:p>
    <w:p>
      <w:pPr>
        <w:pStyle w:val="ListBullet"/>
        <w:ind w:left="360" w:hanging="360"/>
      </w:pPr>
      <w:r>
        <w:rPr>
          <w:rFonts w:ascii="Calibri" w:hAnsi="Calibri"/>
          <w:b/>
          <w:color w:val="525866"/>
          <w:sz w:val="22"/>
        </w:rPr>
        <w:t xml:space="preserve">Double-digit rate gains in Q3 bids: </w:t>
      </w:r>
      <w:r>
        <w:rPr>
          <w:rFonts w:ascii="Calibri" w:hAnsi="Calibri"/>
          <w:color w:val="525866"/>
          <w:sz w:val="22"/>
        </w:rPr>
        <w:t xml:space="preserve">"Bid outcomes largely brought double-digit percentage gains in pricing for Q3 2026." Rates could trend in the double-digit range by September. </w:t>
      </w:r>
      <w:r>
        <w:rPr>
          <w:rFonts w:ascii="Calibri" w:hAnsi="Calibri"/>
          <w:b/>
          <w:color w:val="525866"/>
          <w:sz w:val="22"/>
        </w:rPr>
        <w:t xml:space="preserve">Read-through: </w:t>
      </w:r>
      <w:r>
        <w:rPr>
          <w:rFonts w:ascii="Calibri" w:hAnsi="Calibri"/>
          <w:color w:val="525866"/>
          <w:sz w:val="22"/>
        </w:rPr>
        <w:t>Improving carrier revenue per mile restores profitability and accelerates the decision to replace aging fleets with new PCAR trucks.</w:t>
      </w:r>
    </w:p>
    <w:p>
      <w:pPr>
        <w:pStyle w:val="ListBullet"/>
        <w:ind w:left="360" w:hanging="360"/>
      </w:pPr>
      <w:r>
        <w:rPr>
          <w:rFonts w:ascii="Calibri" w:hAnsi="Calibri"/>
          <w:b/>
          <w:color w:val="525866"/>
          <w:sz w:val="22"/>
        </w:rPr>
        <w:t xml:space="preserve">FMCSA/DOT enforcement tightening capacity structurally: </w:t>
      </w:r>
      <w:r>
        <w:rPr>
          <w:rFonts w:ascii="Calibri" w:hAnsi="Calibri"/>
          <w:color w:val="525866"/>
          <w:sz w:val="22"/>
        </w:rPr>
        <w:t xml:space="preserve">Efforts to revoke invalidly issued CDLs, shut down non-compliant CDL schools, and address hour-of-service abuses are pushing out non-compliant carriers. The Montgomery Supreme Court ruling is expected to further squeeze marginal carriers. </w:t>
      </w:r>
      <w:r>
        <w:rPr>
          <w:rFonts w:ascii="Calibri" w:hAnsi="Calibri"/>
          <w:b/>
          <w:color w:val="525866"/>
          <w:sz w:val="22"/>
        </w:rPr>
        <w:t xml:space="preserve">Read-through: </w:t>
      </w:r>
      <w:r>
        <w:rPr>
          <w:rFonts w:ascii="Calibri" w:hAnsi="Calibri"/>
          <w:color w:val="525866"/>
          <w:sz w:val="22"/>
        </w:rPr>
        <w:t>Structural capacity reduction supports a longer and more durable upcycle for truck demand.</w:t>
      </w:r>
    </w:p>
    <w:p>
      <w:pPr>
        <w:pStyle w:val="ListBullet"/>
        <w:ind w:left="360" w:hanging="360"/>
      </w:pPr>
      <w:r>
        <w:rPr>
          <w:rFonts w:ascii="Calibri" w:hAnsi="Calibri"/>
          <w:b/>
          <w:color w:val="525866"/>
          <w:sz w:val="22"/>
        </w:rPr>
        <w:t xml:space="preserve">Fleet purchasing: </w:t>
      </w:r>
      <w:r>
        <w:rPr>
          <w:rFonts w:ascii="Calibri" w:hAnsi="Calibri"/>
          <w:color w:val="525866"/>
          <w:sz w:val="22"/>
        </w:rPr>
        <w:t>KNX's biggest opportunity is seating unseated trucks; truck counts expected to be relatively stable sequentially into Q3 2026. Driver availability is the primary constraint, not truck availability — suggesting incremental demand for new trucks as driver supply improves.</w:t>
      </w:r>
    </w:p>
    <w:p>
      <w:pPr>
        <w:pStyle w:val="ListBullet"/>
        <w:ind w:left="360" w:hanging="360"/>
      </w:pPr>
      <w:r>
        <w:rPr>
          <w:rFonts w:ascii="Calibri" w:hAnsi="Calibri"/>
          <w:b/>
          <w:color w:val="525866"/>
          <w:sz w:val="22"/>
        </w:rPr>
        <w:t xml:space="preserve">Strong Q4 2026 peak season expected: </w:t>
      </w:r>
      <w:r>
        <w:rPr>
          <w:rFonts w:ascii="Calibri" w:hAnsi="Calibri"/>
          <w:color w:val="525866"/>
          <w:sz w:val="22"/>
        </w:rPr>
        <w:t>"If strong seasonality in Q4 2026 continues into the next year, combined with ongoing supply constraints, rates could accelerate rapidly." Peak season agreements already in place with proactive customers.</w:t>
      </w:r>
    </w:p>
    <w:p>
      <w:pPr>
        <w:pStyle w:val="Heading3"/>
      </w:pPr>
      <w:r>
        <w:rPr>
          <w:rFonts w:ascii="Calibri" w:hAnsi="Calibri"/>
          <w:b/>
          <w:color w:val="3B4259"/>
          <w:sz w:val="24"/>
        </w:rPr>
        <w:t>Cummins Inc. (CMI) — Q1 2026 Earnings (May 5, 2026) &amp; Analyst Day (May 21, 2026)</w:t>
      </w:r>
    </w:p>
    <w:p>
      <w:r>
        <w:rPr>
          <w:rFonts w:ascii="Calibri" w:hAnsi="Calibri"/>
          <w:i/>
          <w:color w:val="525866"/>
          <w:sz w:val="22"/>
        </w:rPr>
        <w:t>Relevance: Cummins is PCAR's primary engine supplier and a key partner for EPA 2027 compliance. CMI's commentary on engine production ramp, pre-buy dynamics, and regulatory readiness is a direct read-through for PCAR's H2 2026 volume and margin outlook.</w:t>
      </w:r>
    </w:p>
    <w:p>
      <w:pPr>
        <w:pStyle w:val="ListBullet"/>
        <w:ind w:left="360" w:hanging="360"/>
      </w:pPr>
      <w:r>
        <w:rPr>
          <w:rFonts w:ascii="Calibri" w:hAnsi="Calibri"/>
          <w:b/>
          <w:color w:val="525866"/>
          <w:sz w:val="22"/>
        </w:rPr>
        <w:t xml:space="preserve">NA heavy-duty truck forecast raised to 230,000–250,000 units (Q1 earnings): </w:t>
      </w:r>
      <w:r>
        <w:rPr>
          <w:rFonts w:ascii="Calibri" w:hAnsi="Calibri"/>
          <w:color w:val="525866"/>
          <w:sz w:val="22"/>
        </w:rPr>
        <w:t>CMI raised its 2026 North America heavy-duty truck forecast from 220,000–240,000 to 230,000–250,000 units, citing strong recent orders and improving spot rates. This is directly consistent with PCAR's own 230,000–270,000 unit market outlook and supports the high end of PCAR's range.</w:t>
      </w:r>
    </w:p>
    <w:p>
      <w:pPr>
        <w:pStyle w:val="ListBullet"/>
        <w:ind w:left="360" w:hanging="360"/>
      </w:pPr>
      <w:r>
        <w:rPr>
          <w:rFonts w:ascii="Calibri" w:hAnsi="Calibri"/>
          <w:b/>
          <w:color w:val="525866"/>
          <w:sz w:val="22"/>
        </w:rPr>
        <w:t xml:space="preserve">Engine production ramping sharply (Analyst Day): </w:t>
      </w:r>
      <w:r>
        <w:rPr>
          <w:rFonts w:ascii="Calibri" w:hAnsi="Calibri"/>
          <w:color w:val="525866"/>
          <w:sz w:val="22"/>
        </w:rPr>
        <w:t xml:space="preserve">"We started the year making 250–240 engines a day for the North American market heavy-duty. And by the end of June, we'll be up to 400." CMI does not anticipate being a supply constraint. </w:t>
      </w:r>
      <w:r>
        <w:rPr>
          <w:rFonts w:ascii="Calibri" w:hAnsi="Calibri"/>
          <w:b/>
          <w:color w:val="525866"/>
          <w:sz w:val="22"/>
        </w:rPr>
        <w:t xml:space="preserve">Read-through: </w:t>
      </w:r>
      <w:r>
        <w:rPr>
          <w:rFonts w:ascii="Calibri" w:hAnsi="Calibri"/>
          <w:color w:val="525866"/>
          <w:sz w:val="22"/>
        </w:rPr>
        <w:t>Engine availability is not a bottleneck for PCAR's guided 37,000–38,000 Q2 deliveries or the H2 ramp.</w:t>
      </w:r>
    </w:p>
    <w:p>
      <w:pPr>
        <w:pStyle w:val="ListBullet"/>
        <w:ind w:left="360" w:hanging="360"/>
      </w:pPr>
      <w:r>
        <w:rPr>
          <w:rFonts w:ascii="Calibri" w:hAnsi="Calibri"/>
          <w:b/>
          <w:color w:val="525866"/>
          <w:sz w:val="22"/>
        </w:rPr>
        <w:t xml:space="preserve">EPA 2027 adds ~$10,000 per truck in cost (Analyst Day): </w:t>
      </w:r>
      <w:r>
        <w:rPr>
          <w:rFonts w:ascii="Calibri" w:hAnsi="Calibri"/>
          <w:color w:val="525866"/>
          <w:sz w:val="22"/>
        </w:rPr>
        <w:t xml:space="preserve">"Industry estimates suggest that EPA 2027 could add roughly $10,000 to the cost of a truck, with the majority in the powertrain and powertrain-related systems." CMI's HELM platform launch is tied to these regulations. </w:t>
      </w:r>
      <w:r>
        <w:rPr>
          <w:rFonts w:ascii="Calibri" w:hAnsi="Calibri"/>
          <w:b/>
          <w:color w:val="525866"/>
          <w:sz w:val="22"/>
        </w:rPr>
        <w:t xml:space="preserve">Read-through: </w:t>
      </w:r>
      <w:r>
        <w:rPr>
          <w:rFonts w:ascii="Calibri" w:hAnsi="Calibri"/>
          <w:color w:val="525866"/>
          <w:sz w:val="22"/>
        </w:rPr>
        <w:t>The $10,000 cost step-up is a meaningful incentive for fleets to pre-buy 2026-spec trucks, supporting PCAR's H2 2026 order book.</w:t>
      </w:r>
    </w:p>
    <w:p>
      <w:pPr>
        <w:pStyle w:val="ListBullet"/>
        <w:ind w:left="360" w:hanging="360"/>
      </w:pPr>
      <w:r>
        <w:rPr>
          <w:rFonts w:ascii="Calibri" w:hAnsi="Calibri"/>
          <w:b/>
          <w:color w:val="525866"/>
          <w:sz w:val="22"/>
        </w:rPr>
        <w:t xml:space="preserve">Q3/Q4 2026 will be stronger than Q1 2027 (Analyst Day): </w:t>
      </w:r>
      <w:r>
        <w:rPr>
          <w:rFonts w:ascii="Calibri" w:hAnsi="Calibri"/>
          <w:color w:val="525866"/>
          <w:sz w:val="22"/>
        </w:rPr>
        <w:t xml:space="preserve">"Clearly, Q3, Q4 are going to be stronger than what Q1 will be next year." CMI expects a pause in demand in H1 2027 post-regulatory changeover. </w:t>
      </w:r>
      <w:r>
        <w:rPr>
          <w:rFonts w:ascii="Calibri" w:hAnsi="Calibri"/>
          <w:b/>
          <w:color w:val="525866"/>
          <w:sz w:val="22"/>
        </w:rPr>
        <w:t xml:space="preserve">Read-through: </w:t>
      </w:r>
      <w:r>
        <w:rPr>
          <w:rFonts w:ascii="Calibri" w:hAnsi="Calibri"/>
          <w:color w:val="525866"/>
          <w:sz w:val="22"/>
        </w:rPr>
        <w:t>Validates PCAR's H2 2026 pre-buy thesis and suggests the volume ramp is real, not speculative.</w:t>
      </w:r>
    </w:p>
    <w:p>
      <w:pPr>
        <w:pStyle w:val="ListBullet"/>
        <w:ind w:left="360" w:hanging="360"/>
      </w:pPr>
      <w:r>
        <w:rPr>
          <w:rFonts w:ascii="Calibri" w:hAnsi="Calibri"/>
          <w:b/>
          <w:color w:val="525866"/>
          <w:sz w:val="22"/>
        </w:rPr>
        <w:t xml:space="preserve">Tariff impact immaterial for CMI (Q1 earnings): </w:t>
      </w:r>
      <w:r>
        <w:rPr>
          <w:rFonts w:ascii="Calibri" w:hAnsi="Calibri"/>
          <w:color w:val="525866"/>
          <w:sz w:val="22"/>
        </w:rPr>
        <w:t xml:space="preserve">Net tariff impact on CMI EBITDA was immaterial in Q1 2026 and expected to remain so for the full year (20–30 bps headwind). CMI is working with the Department of Commerce on the engine offset program. </w:t>
      </w:r>
      <w:r>
        <w:rPr>
          <w:rFonts w:ascii="Calibri" w:hAnsi="Calibri"/>
          <w:b/>
          <w:color w:val="525866"/>
          <w:sz w:val="22"/>
        </w:rPr>
        <w:t xml:space="preserve">Read-through: </w:t>
      </w:r>
      <w:r>
        <w:rPr>
          <w:rFonts w:ascii="Calibri" w:hAnsi="Calibri"/>
          <w:color w:val="525866"/>
          <w:sz w:val="22"/>
        </w:rPr>
        <w:t>Consistent with PCAR's own commentary that simplified metal tariffs have moderate impact; the truck-specific 232 tariff credits are the more important variable for PCAR.</w:t>
      </w:r>
    </w:p>
    <w:p>
      <w:pPr>
        <w:pStyle w:val="ListBullet"/>
        <w:ind w:left="360" w:hanging="360"/>
      </w:pPr>
      <w:r>
        <w:rPr>
          <w:rFonts w:ascii="Calibri" w:hAnsi="Calibri"/>
          <w:b/>
          <w:color w:val="525866"/>
          <w:sz w:val="22"/>
        </w:rPr>
        <w:t xml:space="preserve">Pre-buy more limited than 2006 cycle due to late EPA rule release (Analyst Day): </w:t>
      </w:r>
      <w:r>
        <w:rPr>
          <w:rFonts w:ascii="Calibri" w:hAnsi="Calibri"/>
          <w:color w:val="525866"/>
          <w:sz w:val="22"/>
        </w:rPr>
        <w:t xml:space="preserve">"The prebuy isn't limited by the supply chain. It's by the EPA being this late. So the overhang of how much you pull forward this year — limited to be more than other ones, 2006 was huge. Generally, more limited than this." </w:t>
      </w:r>
      <w:r>
        <w:rPr>
          <w:rFonts w:ascii="Calibri" w:hAnsi="Calibri"/>
          <w:b/>
          <w:color w:val="525866"/>
          <w:sz w:val="22"/>
        </w:rPr>
        <w:t xml:space="preserve">Read-through: </w:t>
      </w:r>
      <w:r>
        <w:rPr>
          <w:rFonts w:ascii="Calibri" w:hAnsi="Calibri"/>
          <w:color w:val="525866"/>
          <w:sz w:val="22"/>
        </w:rPr>
        <w:t>Tempers expectations for a massive pre-buy surge; supports PCAR's characterization of H2 demand as a balanced mix of genuine replacement and pre-buy rather than a pure pre-buy spike.</w:t>
      </w:r>
    </w:p>
    <w:p>
      <w:pPr>
        <w:pStyle w:val="Heading3"/>
      </w:pPr>
      <w:r>
        <w:rPr>
          <w:rFonts w:ascii="Calibri" w:hAnsi="Calibri"/>
          <w:b/>
          <w:color w:val="3B4259"/>
          <w:sz w:val="24"/>
        </w:rPr>
        <w:t>Atmus Filtration Technologies (ATMU) — Q1 2026 Earnings (May 1, 2026)</w:t>
      </w:r>
    </w:p>
    <w:p>
      <w:r>
        <w:rPr>
          <w:rFonts w:ascii="Calibri" w:hAnsi="Calibri"/>
          <w:i/>
          <w:color w:val="525866"/>
          <w:sz w:val="22"/>
        </w:rPr>
        <w:t>Relevance: ATMU is a filtration supplier to commercial vehicle OEMs including PCAR. Its commentary on first-fit market trends and pre-buy activity is a read-through for PCAR's production ramp.</w:t>
      </w:r>
    </w:p>
    <w:p>
      <w:pPr>
        <w:pStyle w:val="ListBullet"/>
        <w:ind w:left="360" w:hanging="360"/>
      </w:pPr>
      <w:r>
        <w:rPr>
          <w:rFonts w:ascii="Calibri" w:hAnsi="Calibri"/>
          <w:b/>
          <w:color w:val="525866"/>
          <w:sz w:val="22"/>
        </w:rPr>
        <w:t xml:space="preserve">First-fit market expected up 5%–15% vs. 2025, all second-half loaded: </w:t>
      </w:r>
      <w:r>
        <w:rPr>
          <w:rFonts w:ascii="Calibri" w:hAnsi="Calibri"/>
          <w:color w:val="525866"/>
          <w:sz w:val="22"/>
        </w:rPr>
        <w:t xml:space="preserve">"Our outlook for heavy and medium-duty markets in the U.S. is now expected to be in a range of up 5% to up 15% compared to 2025... We expect that to be all second half loaded." Build rates already increasing and expected to trend up through Q2 and H2. </w:t>
      </w:r>
      <w:r>
        <w:rPr>
          <w:rFonts w:ascii="Calibri" w:hAnsi="Calibri"/>
          <w:b/>
          <w:color w:val="525866"/>
          <w:sz w:val="22"/>
        </w:rPr>
        <w:t xml:space="preserve">Read-through: </w:t>
      </w:r>
      <w:r>
        <w:rPr>
          <w:rFonts w:ascii="Calibri" w:hAnsi="Calibri"/>
          <w:color w:val="525866"/>
          <w:sz w:val="22"/>
        </w:rPr>
        <w:t>Directly corroborates PCAR's guided delivery ramp from 33,100 in Q1 to 37,000–38,000 in Q2 and further in H2.</w:t>
      </w:r>
    </w:p>
    <w:p>
      <w:pPr>
        <w:pStyle w:val="ListBullet"/>
        <w:ind w:left="360" w:hanging="360"/>
      </w:pPr>
      <w:r>
        <w:rPr>
          <w:rFonts w:ascii="Calibri" w:hAnsi="Calibri"/>
          <w:b/>
          <w:color w:val="525866"/>
          <w:sz w:val="22"/>
        </w:rPr>
        <w:t xml:space="preserve">Pre-buy ahead of 2027 regulatory changes confirmed: </w:t>
      </w:r>
      <w:r>
        <w:rPr>
          <w:rFonts w:ascii="Calibri" w:hAnsi="Calibri"/>
          <w:color w:val="525866"/>
          <w:sz w:val="22"/>
        </w:rPr>
        <w:t xml:space="preserve">"Customers have indicated strengthening activity as the year progresses related to cyclical market recovery and pre-buy activity ahead of 2027 U.S. regulatory changes." </w:t>
      </w:r>
      <w:r>
        <w:rPr>
          <w:rFonts w:ascii="Calibri" w:hAnsi="Calibri"/>
          <w:b/>
          <w:color w:val="525866"/>
          <w:sz w:val="22"/>
        </w:rPr>
        <w:t xml:space="preserve">Read-through: </w:t>
      </w:r>
      <w:r>
        <w:rPr>
          <w:rFonts w:ascii="Calibri" w:hAnsi="Calibri"/>
          <w:color w:val="525866"/>
          <w:sz w:val="22"/>
        </w:rPr>
        <w:t>Independent confirmation of the pre-buy dynamic that PCAR management cited as a driver of H2 order book strength.</w:t>
      </w:r>
    </w:p>
    <w:p>
      <w:pPr>
        <w:pStyle w:val="ListBullet"/>
        <w:ind w:left="360" w:hanging="360"/>
      </w:pPr>
      <w:r>
        <w:rPr>
          <w:rFonts w:ascii="Calibri" w:hAnsi="Calibri"/>
          <w:b/>
          <w:color w:val="525866"/>
          <w:sz w:val="22"/>
        </w:rPr>
        <w:t xml:space="preserve">Section 232 tariff impact immaterial for ATMU: </w:t>
      </w:r>
      <w:r>
        <w:rPr>
          <w:rFonts w:ascii="Calibri" w:hAnsi="Calibri"/>
          <w:color w:val="525866"/>
          <w:sz w:val="22"/>
        </w:rPr>
        <w:t xml:space="preserve">Most ATMU products qualify under prior heavy/medium-duty Section 232 tariffs, keeping USMCA exemptions valid. Tariff pricing expected flat year-over-year. </w:t>
      </w:r>
      <w:r>
        <w:rPr>
          <w:rFonts w:ascii="Calibri" w:hAnsi="Calibri"/>
          <w:b/>
          <w:color w:val="525866"/>
          <w:sz w:val="22"/>
        </w:rPr>
        <w:t xml:space="preserve">Read-through: </w:t>
      </w:r>
      <w:r>
        <w:rPr>
          <w:rFonts w:ascii="Calibri" w:hAnsi="Calibri"/>
          <w:color w:val="525866"/>
          <w:sz w:val="22"/>
        </w:rPr>
        <w:t>Consistent with PCAR's own assessment that simplified metal tariffs have limited incremental impact.</w:t>
      </w:r>
    </w:p>
    <w:p>
      <w:pPr>
        <w:pStyle w:val="Heading3"/>
      </w:pPr>
      <w:r>
        <w:rPr>
          <w:rFonts w:ascii="Calibri" w:hAnsi="Calibri"/>
          <w:b/>
          <w:color w:val="3B4259"/>
          <w:sz w:val="24"/>
        </w:rPr>
        <w:t>Wabash National (WNC) — Q1 2026 Earnings (May 1, 2026)</w:t>
      </w:r>
    </w:p>
    <w:p>
      <w:r>
        <w:rPr>
          <w:rFonts w:ascii="Calibri" w:hAnsi="Calibri"/>
          <w:i/>
          <w:color w:val="525866"/>
          <w:sz w:val="22"/>
        </w:rPr>
        <w:t>Relevance: WNC is a trailer manufacturer whose commentary on freight market conditions and fleet purchasing behavior provides context for the broader commercial vehicle demand environment.</w:t>
      </w:r>
    </w:p>
    <w:p>
      <w:pPr>
        <w:pStyle w:val="ListBullet"/>
        <w:ind w:left="360" w:hanging="360"/>
      </w:pPr>
      <w:r>
        <w:rPr>
          <w:rFonts w:ascii="Calibri" w:hAnsi="Calibri"/>
          <w:b/>
          <w:color w:val="525866"/>
          <w:sz w:val="22"/>
        </w:rPr>
        <w:t xml:space="preserve">Q1 2026 was the low point; sequential improvement expected each quarter: </w:t>
      </w:r>
      <w:r>
        <w:rPr>
          <w:rFonts w:ascii="Calibri" w:hAnsi="Calibri"/>
          <w:color w:val="525866"/>
          <w:sz w:val="22"/>
        </w:rPr>
        <w:t xml:space="preserve">WNC guided Q2 2026 revenue of $380–$400M and expects positive adjusted EBITDA in H2 2026. Backlog improved 19% sequentially — a historic high rate of growth for Q1. </w:t>
      </w:r>
      <w:r>
        <w:rPr>
          <w:rFonts w:ascii="Calibri" w:hAnsi="Calibri"/>
          <w:b/>
          <w:color w:val="525866"/>
          <w:sz w:val="22"/>
        </w:rPr>
        <w:t xml:space="preserve">Read-through: </w:t>
      </w:r>
      <w:r>
        <w:rPr>
          <w:rFonts w:ascii="Calibri" w:hAnsi="Calibri"/>
          <w:color w:val="525866"/>
          <w:sz w:val="22"/>
        </w:rPr>
        <w:t>Consistent with PCAR's own characterization of Q4 2025 as the trough and sequential improvement through 2026.</w:t>
      </w:r>
    </w:p>
    <w:p>
      <w:pPr>
        <w:pStyle w:val="ListBullet"/>
        <w:ind w:left="360" w:hanging="360"/>
      </w:pPr>
      <w:r>
        <w:rPr>
          <w:rFonts w:ascii="Calibri" w:hAnsi="Calibri"/>
          <w:b/>
          <w:color w:val="525866"/>
          <w:sz w:val="22"/>
        </w:rPr>
        <w:t xml:space="preserve">Early signs of stabilization; constructive 2027 setup: </w:t>
      </w:r>
      <w:r>
        <w:rPr>
          <w:rFonts w:ascii="Calibri" w:hAnsi="Calibri"/>
          <w:color w:val="525866"/>
          <w:sz w:val="22"/>
        </w:rPr>
        <w:t xml:space="preserve">"Customer sentiment and visibility continue to improve, setting the stage for a constructive 2027." Spot rates and manufacturing activity increasing visibility into recovery. </w:t>
      </w:r>
      <w:r>
        <w:rPr>
          <w:rFonts w:ascii="Calibri" w:hAnsi="Calibri"/>
          <w:b/>
          <w:color w:val="525866"/>
          <w:sz w:val="22"/>
        </w:rPr>
        <w:t xml:space="preserve">Read-through: </w:t>
      </w:r>
      <w:r>
        <w:rPr>
          <w:rFonts w:ascii="Calibri" w:hAnsi="Calibri"/>
          <w:color w:val="525866"/>
          <w:sz w:val="22"/>
        </w:rPr>
        <w:t>Improving carrier profitability is the precondition for fleet replacement spending, supporting PCAR's H2 2026 and 2027 demand outlook.</w:t>
      </w:r>
    </w:p>
    <w:p>
      <w:pPr>
        <w:pStyle w:val="ListBullet"/>
        <w:ind w:left="360" w:hanging="360"/>
      </w:pPr>
      <w:r>
        <w:rPr>
          <w:rFonts w:ascii="Calibri" w:hAnsi="Calibri"/>
          <w:b/>
          <w:color w:val="525866"/>
          <w:sz w:val="22"/>
        </w:rPr>
        <w:t xml:space="preserve">Section 232 tariffs expected to level the playing field: </w:t>
      </w:r>
      <w:r>
        <w:rPr>
          <w:rFonts w:ascii="Calibri" w:hAnsi="Calibri"/>
          <w:color w:val="525866"/>
          <w:sz w:val="22"/>
        </w:rPr>
        <w:t xml:space="preserve">"Recent developments related to Section 232 tariffs and the pending antidumping and countervailing duty rulings are anticipated to level the playing field in late 2026 and into 2027." </w:t>
      </w:r>
      <w:r>
        <w:rPr>
          <w:rFonts w:ascii="Calibri" w:hAnsi="Calibri"/>
          <w:b/>
          <w:color w:val="525866"/>
          <w:sz w:val="22"/>
        </w:rPr>
        <w:t xml:space="preserve">Read-through: </w:t>
      </w:r>
      <w:r>
        <w:rPr>
          <w:rFonts w:ascii="Calibri" w:hAnsi="Calibri"/>
          <w:color w:val="525866"/>
          <w:sz w:val="22"/>
        </w:rPr>
        <w:t>Positive for PCAR's competitive positioning as a domestic manufacturer; consistent with management's view that Section 232 becomes a competitive advantage.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filed since the Q1 2026 earnings date. All transactions in the window are </w:t>
      </w:r>
      <w:r>
        <w:rPr>
          <w:rFonts w:ascii="Calibri" w:hAnsi="Calibri"/>
          <w:b/>
          <w:color w:val="525866"/>
          <w:sz w:val="22"/>
        </w:rPr>
        <w:t>routine, non-discretionary in nature</w:t>
      </w:r>
      <w:r>
        <w:rPr>
          <w:rFonts w:ascii="Calibri" w:hAnsi="Calibri"/>
          <w:color w:val="525866"/>
          <w:sz w:val="22"/>
        </w:rPr>
        <w:t xml:space="preserve"> — 401(k)/SIP plan contributions, deferred compensation plan accruals, RSU vesting conversions, and director stock unit grants. There is no insider signal to read into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Security / Units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NIEKAMP CYNTHIA A</w:t>
            </w:r>
          </w:p>
        </w:tc>
        <w:tc>
          <w:tcPr>
            <w:tcW w:type="dxa" w:w="1440"/>
          </w:tcPr>
          <w:p>
            <w:r>
              <w:rPr>
                <w:rFonts w:ascii="Calibri" w:hAnsi="Calibri"/>
                <w:sz w:val="22"/>
              </w:rPr>
              <w:t>Director</w:t>
            </w:r>
          </w:p>
        </w:tc>
        <w:tc>
          <w:tcPr>
            <w:tcW w:type="dxa" w:w="1440"/>
          </w:tcPr>
          <w:p>
            <w:r>
              <w:rPr>
                <w:rFonts w:ascii="Calibri" w:hAnsi="Calibri"/>
                <w:sz w:val="22"/>
              </w:rPr>
              <w:t>RSU Vesting / Conversion (Code M/F)</w:t>
            </w:r>
          </w:p>
        </w:tc>
        <w:tc>
          <w:tcPr>
            <w:tcW w:type="dxa" w:w="1440"/>
          </w:tcPr>
          <w:p>
            <w:r>
              <w:rPr>
                <w:rFonts w:ascii="Calibri" w:hAnsi="Calibri"/>
                <w:sz w:val="22"/>
              </w:rPr>
              <w:t>6,981 units vested; 105 shares withheld for tax</w:t>
            </w:r>
          </w:p>
        </w:tc>
        <w:tc>
          <w:tcPr>
            <w:tcW w:type="dxa" w:w="1440"/>
          </w:tcPr>
          <w:p>
            <w:r>
              <w:rPr>
                <w:rFonts w:ascii="Calibri" w:hAnsi="Calibri"/>
                <w:sz w:val="22"/>
              </w:rPr>
              <w:t>May 8, 2026</w:t>
            </w:r>
          </w:p>
        </w:tc>
        <w:tc>
          <w:tcPr>
            <w:tcW w:type="dxa" w:w="1440"/>
          </w:tcPr>
          <w:p>
            <w:r>
              <w:rPr>
                <w:rFonts w:ascii="Calibri" w:hAnsi="Calibri"/>
                <w:sz w:val="22"/>
              </w:rPr>
              <w:t>Routine RSU vesting; tax withholding sale — not discretionary</w:t>
            </w:r>
          </w:p>
        </w:tc>
      </w:tr>
      <w:tr>
        <w:tc>
          <w:tcPr>
            <w:tcW w:type="dxa" w:w="1440"/>
          </w:tcPr>
          <w:p>
            <w:r>
              <w:rPr>
                <w:rFonts w:ascii="Calibri" w:hAnsi="Calibri"/>
                <w:sz w:val="22"/>
              </w:rPr>
              <w:t>FEIGHT R PRESTON</w:t>
            </w:r>
          </w:p>
        </w:tc>
        <w:tc>
          <w:tcPr>
            <w:tcW w:type="dxa" w:w="1440"/>
          </w:tcPr>
          <w:p>
            <w:r>
              <w:rPr>
                <w:rFonts w:ascii="Calibri" w:hAnsi="Calibri"/>
                <w:sz w:val="22"/>
              </w:rPr>
              <w:t>CEO, Director</w:t>
            </w:r>
          </w:p>
        </w:tc>
        <w:tc>
          <w:tcPr>
            <w:tcW w:type="dxa" w:w="1440"/>
          </w:tcPr>
          <w:p>
            <w:r>
              <w:rPr>
                <w:rFonts w:ascii="Calibri" w:hAnsi="Calibri"/>
                <w:sz w:val="22"/>
              </w:rPr>
              <w:t>401(k)/SIP Contribution (Code J)</w:t>
            </w:r>
          </w:p>
        </w:tc>
        <w:tc>
          <w:tcPr>
            <w:tcW w:type="dxa" w:w="1440"/>
          </w:tcPr>
          <w:p>
            <w:r>
              <w:rPr>
                <w:rFonts w:ascii="Calibri" w:hAnsi="Calibri"/>
                <w:sz w:val="22"/>
              </w:rPr>
              <w:t>53.7 shares (Common Stock via SIP)</w:t>
            </w:r>
          </w:p>
        </w:tc>
        <w:tc>
          <w:tcPr>
            <w:tcW w:type="dxa" w:w="1440"/>
          </w:tcPr>
          <w:p>
            <w:r>
              <w:rPr>
                <w:rFonts w:ascii="Calibri" w:hAnsi="Calibri"/>
                <w:sz w:val="22"/>
              </w:rPr>
              <w:t>June 3, 2026</w:t>
            </w:r>
          </w:p>
        </w:tc>
        <w:tc>
          <w:tcPr>
            <w:tcW w:type="dxa" w:w="1440"/>
          </w:tcPr>
          <w:p>
            <w:r>
              <w:rPr>
                <w:rFonts w:ascii="Calibri" w:hAnsi="Calibri"/>
                <w:sz w:val="22"/>
              </w:rPr>
              <w:t>Routine PACCAR Savings Investment Plan contribution — not discretionary</w:t>
            </w:r>
          </w:p>
        </w:tc>
      </w:tr>
      <w:tr>
        <w:tc>
          <w:tcPr>
            <w:tcW w:type="dxa" w:w="1440"/>
          </w:tcPr>
          <w:p>
            <w:r>
              <w:rPr>
                <w:rFonts w:ascii="Calibri" w:hAnsi="Calibri"/>
                <w:sz w:val="22"/>
              </w:rPr>
              <w:t>PIGOTT MARK C</w:t>
            </w:r>
          </w:p>
        </w:tc>
        <w:tc>
          <w:tcPr>
            <w:tcW w:type="dxa" w:w="1440"/>
          </w:tcPr>
          <w:p>
            <w:r>
              <w:rPr>
                <w:rFonts w:ascii="Calibri" w:hAnsi="Calibri"/>
                <w:sz w:val="22"/>
              </w:rPr>
              <w:t>Executive Chairman, Director</w:t>
            </w:r>
          </w:p>
        </w:tc>
        <w:tc>
          <w:tcPr>
            <w:tcW w:type="dxa" w:w="1440"/>
          </w:tcPr>
          <w:p>
            <w:r>
              <w:rPr>
                <w:rFonts w:ascii="Calibri" w:hAnsi="Calibri"/>
                <w:sz w:val="22"/>
              </w:rPr>
              <w:t>401(k)/SIP Contribution (Code J)</w:t>
            </w:r>
          </w:p>
        </w:tc>
        <w:tc>
          <w:tcPr>
            <w:tcW w:type="dxa" w:w="1440"/>
          </w:tcPr>
          <w:p>
            <w:r>
              <w:rPr>
                <w:rFonts w:ascii="Calibri" w:hAnsi="Calibri"/>
                <w:sz w:val="22"/>
              </w:rPr>
              <w:t>533.7 shares (Common Stock via SIP)</w:t>
            </w:r>
          </w:p>
        </w:tc>
        <w:tc>
          <w:tcPr>
            <w:tcW w:type="dxa" w:w="1440"/>
          </w:tcPr>
          <w:p>
            <w:r>
              <w:rPr>
                <w:rFonts w:ascii="Calibri" w:hAnsi="Calibri"/>
                <w:sz w:val="22"/>
              </w:rPr>
              <w:t>June 3, 2026</w:t>
            </w:r>
          </w:p>
        </w:tc>
        <w:tc>
          <w:tcPr>
            <w:tcW w:type="dxa" w:w="1440"/>
          </w:tcPr>
          <w:p>
            <w:r>
              <w:rPr>
                <w:rFonts w:ascii="Calibri" w:hAnsi="Calibri"/>
                <w:sz w:val="22"/>
              </w:rPr>
              <w:t>Routine PACCAR Savings Investment Plan contribution — not discretionary</w:t>
            </w:r>
          </w:p>
        </w:tc>
      </w:tr>
      <w:tr>
        <w:tc>
          <w:tcPr>
            <w:tcW w:type="dxa" w:w="1440"/>
          </w:tcPr>
          <w:p>
            <w:r>
              <w:rPr>
                <w:rFonts w:ascii="Calibri" w:hAnsi="Calibri"/>
                <w:sz w:val="22"/>
              </w:rPr>
              <w:t>Poplawski Brice J</w:t>
            </w:r>
          </w:p>
        </w:tc>
        <w:tc>
          <w:tcPr>
            <w:tcW w:type="dxa" w:w="1440"/>
          </w:tcPr>
          <w:p>
            <w:r>
              <w:rPr>
                <w:rFonts w:ascii="Calibri" w:hAnsi="Calibri"/>
                <w:sz w:val="22"/>
              </w:rPr>
              <w:t>Sr. VP &amp; CFO</w:t>
            </w:r>
          </w:p>
        </w:tc>
        <w:tc>
          <w:tcPr>
            <w:tcW w:type="dxa" w:w="1440"/>
          </w:tcPr>
          <w:p>
            <w:r>
              <w:rPr>
                <w:rFonts w:ascii="Calibri" w:hAnsi="Calibri"/>
                <w:sz w:val="22"/>
              </w:rPr>
              <w:t>401(k)/SIP Contribution (Code J)</w:t>
            </w:r>
          </w:p>
        </w:tc>
        <w:tc>
          <w:tcPr>
            <w:tcW w:type="dxa" w:w="1440"/>
          </w:tcPr>
          <w:p>
            <w:r>
              <w:rPr>
                <w:rFonts w:ascii="Calibri" w:hAnsi="Calibri"/>
                <w:sz w:val="22"/>
              </w:rPr>
              <w:t>56.0 shares (Common Stock via SIP)</w:t>
            </w:r>
          </w:p>
        </w:tc>
        <w:tc>
          <w:tcPr>
            <w:tcW w:type="dxa" w:w="1440"/>
          </w:tcPr>
          <w:p>
            <w:r>
              <w:rPr>
                <w:rFonts w:ascii="Calibri" w:hAnsi="Calibri"/>
                <w:sz w:val="22"/>
              </w:rPr>
              <w:t>June 3, 2026</w:t>
            </w:r>
          </w:p>
        </w:tc>
        <w:tc>
          <w:tcPr>
            <w:tcW w:type="dxa" w:w="1440"/>
          </w:tcPr>
          <w:p>
            <w:r>
              <w:rPr>
                <w:rFonts w:ascii="Calibri" w:hAnsi="Calibri"/>
                <w:sz w:val="22"/>
              </w:rPr>
              <w:t>Routine PACCAR Savings Investment Plan contribution — not discretionary</w:t>
            </w:r>
          </w:p>
        </w:tc>
      </w:tr>
      <w:tr>
        <w:tc>
          <w:tcPr>
            <w:tcW w:type="dxa" w:w="1440"/>
          </w:tcPr>
          <w:p>
            <w:r>
              <w:rPr>
                <w:rFonts w:ascii="Calibri" w:hAnsi="Calibri"/>
                <w:sz w:val="22"/>
              </w:rPr>
              <w:t>BANEY KEVIN D</w:t>
            </w:r>
          </w:p>
        </w:tc>
        <w:tc>
          <w:tcPr>
            <w:tcW w:type="dxa" w:w="1440"/>
          </w:tcPr>
          <w:p>
            <w:r>
              <w:rPr>
                <w:rFonts w:ascii="Calibri" w:hAnsi="Calibri"/>
                <w:sz w:val="22"/>
              </w:rPr>
              <w:t>Executive Vice President</w:t>
            </w:r>
          </w:p>
        </w:tc>
        <w:tc>
          <w:tcPr>
            <w:tcW w:type="dxa" w:w="1440"/>
          </w:tcPr>
          <w:p>
            <w:r>
              <w:rPr>
                <w:rFonts w:ascii="Calibri" w:hAnsi="Calibri"/>
                <w:sz w:val="22"/>
              </w:rPr>
              <w:t>401(k)/SIP Contribution (Code J)</w:t>
            </w:r>
          </w:p>
        </w:tc>
        <w:tc>
          <w:tcPr>
            <w:tcW w:type="dxa" w:w="1440"/>
          </w:tcPr>
          <w:p>
            <w:r>
              <w:rPr>
                <w:rFonts w:ascii="Calibri" w:hAnsi="Calibri"/>
                <w:sz w:val="22"/>
              </w:rPr>
              <w:t>18.4 shares (Common Stock via SIP)</w:t>
            </w:r>
          </w:p>
        </w:tc>
        <w:tc>
          <w:tcPr>
            <w:tcW w:type="dxa" w:w="1440"/>
          </w:tcPr>
          <w:p>
            <w:r>
              <w:rPr>
                <w:rFonts w:ascii="Calibri" w:hAnsi="Calibri"/>
                <w:sz w:val="22"/>
              </w:rPr>
              <w:t>June 3, 2026</w:t>
            </w:r>
          </w:p>
        </w:tc>
        <w:tc>
          <w:tcPr>
            <w:tcW w:type="dxa" w:w="1440"/>
          </w:tcPr>
          <w:p>
            <w:r>
              <w:rPr>
                <w:rFonts w:ascii="Calibri" w:hAnsi="Calibri"/>
                <w:sz w:val="22"/>
              </w:rPr>
              <w:t>Routine PACCAR Savings Investment Plan contribution — not discretionary</w:t>
            </w:r>
          </w:p>
        </w:tc>
      </w:tr>
      <w:tr>
        <w:tc>
          <w:tcPr>
            <w:tcW w:type="dxa" w:w="1440"/>
          </w:tcPr>
          <w:p>
            <w:r>
              <w:rPr>
                <w:rFonts w:ascii="Calibri" w:hAnsi="Calibri"/>
                <w:sz w:val="22"/>
              </w:rPr>
              <w:t>HACHIGIAN KIRK S</w:t>
            </w:r>
          </w:p>
        </w:tc>
        <w:tc>
          <w:tcPr>
            <w:tcW w:type="dxa" w:w="1440"/>
          </w:tcPr>
          <w:p>
            <w:r>
              <w:rPr>
                <w:rFonts w:ascii="Calibri" w:hAnsi="Calibri"/>
                <w:sz w:val="22"/>
              </w:rPr>
              <w:t>Director</w:t>
            </w:r>
          </w:p>
        </w:tc>
        <w:tc>
          <w:tcPr>
            <w:tcW w:type="dxa" w:w="1440"/>
          </w:tcPr>
          <w:p>
            <w:r>
              <w:rPr>
                <w:rFonts w:ascii="Calibri" w:hAnsi="Calibri"/>
                <w:sz w:val="22"/>
              </w:rPr>
              <w:t>Director Deferred Comp / RSDCP Grant (Code J)</w:t>
            </w:r>
          </w:p>
        </w:tc>
        <w:tc>
          <w:tcPr>
            <w:tcW w:type="dxa" w:w="1440"/>
          </w:tcPr>
          <w:p>
            <w:r>
              <w:rPr>
                <w:rFonts w:ascii="Calibri" w:hAnsi="Calibri"/>
                <w:sz w:val="22"/>
              </w:rPr>
              <w:t>236.2 Stock Units (RSDCP)</w:t>
            </w:r>
          </w:p>
        </w:tc>
        <w:tc>
          <w:tcPr>
            <w:tcW w:type="dxa" w:w="1440"/>
          </w:tcPr>
          <w:p>
            <w:r>
              <w:rPr>
                <w:rFonts w:ascii="Calibri" w:hAnsi="Calibri"/>
                <w:sz w:val="22"/>
              </w:rPr>
              <w:t>June 3, 2026</w:t>
            </w:r>
          </w:p>
        </w:tc>
        <w:tc>
          <w:tcPr>
            <w:tcW w:type="dxa" w:w="1440"/>
          </w:tcPr>
          <w:p>
            <w:r>
              <w:rPr>
                <w:rFonts w:ascii="Calibri" w:hAnsi="Calibri"/>
                <w:sz w:val="22"/>
              </w:rPr>
              <w:t>Routine director deferred compensation plan accrual — not discretionary</w:t>
            </w:r>
          </w:p>
        </w:tc>
      </w:tr>
      <w:tr>
        <w:tc>
          <w:tcPr>
            <w:tcW w:type="dxa" w:w="1440"/>
          </w:tcPr>
          <w:p>
            <w:r>
              <w:rPr>
                <w:rFonts w:ascii="Calibri" w:hAnsi="Calibri"/>
                <w:sz w:val="22"/>
              </w:rPr>
              <w:t>CARNWATH ALISON J</w:t>
            </w:r>
          </w:p>
        </w:tc>
        <w:tc>
          <w:tcPr>
            <w:tcW w:type="dxa" w:w="1440"/>
          </w:tcPr>
          <w:p>
            <w:r>
              <w:rPr>
                <w:rFonts w:ascii="Calibri" w:hAnsi="Calibri"/>
                <w:sz w:val="22"/>
              </w:rPr>
              <w:t>Director</w:t>
            </w:r>
          </w:p>
        </w:tc>
        <w:tc>
          <w:tcPr>
            <w:tcW w:type="dxa" w:w="1440"/>
          </w:tcPr>
          <w:p>
            <w:r>
              <w:rPr>
                <w:rFonts w:ascii="Calibri" w:hAnsi="Calibri"/>
                <w:sz w:val="22"/>
              </w:rPr>
              <w:t>Director Deferred Comp / RSDCP Grant (Code J)</w:t>
            </w:r>
          </w:p>
        </w:tc>
        <w:tc>
          <w:tcPr>
            <w:tcW w:type="dxa" w:w="1440"/>
          </w:tcPr>
          <w:p>
            <w:r>
              <w:rPr>
                <w:rFonts w:ascii="Calibri" w:hAnsi="Calibri"/>
                <w:sz w:val="22"/>
              </w:rPr>
              <w:t>70.2 Stock Units (RSDCP)</w:t>
            </w:r>
          </w:p>
        </w:tc>
        <w:tc>
          <w:tcPr>
            <w:tcW w:type="dxa" w:w="1440"/>
          </w:tcPr>
          <w:p>
            <w:r>
              <w:rPr>
                <w:rFonts w:ascii="Calibri" w:hAnsi="Calibri"/>
                <w:sz w:val="22"/>
              </w:rPr>
              <w:t>June 3, 2026</w:t>
            </w:r>
          </w:p>
        </w:tc>
        <w:tc>
          <w:tcPr>
            <w:tcW w:type="dxa" w:w="1440"/>
          </w:tcPr>
          <w:p>
            <w:r>
              <w:rPr>
                <w:rFonts w:ascii="Calibri" w:hAnsi="Calibri"/>
                <w:sz w:val="22"/>
              </w:rPr>
              <w:t>Routine director deferred compensation plan accrual — not discretionary</w:t>
            </w:r>
          </w:p>
        </w:tc>
      </w:tr>
      <w:tr>
        <w:tc>
          <w:tcPr>
            <w:tcW w:type="dxa" w:w="1440"/>
          </w:tcPr>
          <w:p>
            <w:r>
              <w:rPr>
                <w:rFonts w:ascii="Calibri" w:hAnsi="Calibri"/>
                <w:sz w:val="22"/>
              </w:rPr>
              <w:t>Breber Pierre R</w:t>
            </w:r>
          </w:p>
        </w:tc>
        <w:tc>
          <w:tcPr>
            <w:tcW w:type="dxa" w:w="1440"/>
          </w:tcPr>
          <w:p>
            <w:r>
              <w:rPr>
                <w:rFonts w:ascii="Calibri" w:hAnsi="Calibri"/>
                <w:sz w:val="22"/>
              </w:rPr>
              <w:t>Director</w:t>
            </w:r>
          </w:p>
        </w:tc>
        <w:tc>
          <w:tcPr>
            <w:tcW w:type="dxa" w:w="1440"/>
          </w:tcPr>
          <w:p>
            <w:r>
              <w:rPr>
                <w:rFonts w:ascii="Calibri" w:hAnsi="Calibri"/>
                <w:sz w:val="22"/>
              </w:rPr>
              <w:t>Director Stock Unit Grant (Code J)</w:t>
            </w:r>
          </w:p>
        </w:tc>
        <w:tc>
          <w:tcPr>
            <w:tcW w:type="dxa" w:w="1440"/>
          </w:tcPr>
          <w:p>
            <w:r>
              <w:rPr>
                <w:rFonts w:ascii="Calibri" w:hAnsi="Calibri"/>
                <w:sz w:val="22"/>
              </w:rPr>
              <w:t>412.4 Stock Units (quarterly grant)</w:t>
            </w:r>
          </w:p>
        </w:tc>
        <w:tc>
          <w:tcPr>
            <w:tcW w:type="dxa" w:w="1440"/>
          </w:tcPr>
          <w:p>
            <w:r>
              <w:rPr>
                <w:rFonts w:ascii="Calibri" w:hAnsi="Calibri"/>
                <w:sz w:val="22"/>
              </w:rPr>
              <w:t>July 1, 2026</w:t>
            </w:r>
          </w:p>
        </w:tc>
        <w:tc>
          <w:tcPr>
            <w:tcW w:type="dxa" w:w="1440"/>
          </w:tcPr>
          <w:p>
            <w:r>
              <w:rPr>
                <w:rFonts w:ascii="Calibri" w:hAnsi="Calibri"/>
                <w:sz w:val="22"/>
              </w:rPr>
              <w:t>Routine quarterly director stock unit grant — not discretionary</w:t>
            </w:r>
          </w:p>
        </w:tc>
      </w:tr>
      <w:tr>
        <w:tc>
          <w:tcPr>
            <w:tcW w:type="dxa" w:w="1440"/>
          </w:tcPr>
          <w:p>
            <w:r>
              <w:rPr>
                <w:rFonts w:ascii="Calibri" w:hAnsi="Calibri"/>
                <w:sz w:val="22"/>
              </w:rPr>
              <w:t>RAMASWAMY SREEGANESH</w:t>
            </w:r>
          </w:p>
        </w:tc>
        <w:tc>
          <w:tcPr>
            <w:tcW w:type="dxa" w:w="1440"/>
          </w:tcPr>
          <w:p>
            <w:r>
              <w:rPr>
                <w:rFonts w:ascii="Calibri" w:hAnsi="Calibri"/>
                <w:sz w:val="22"/>
              </w:rPr>
              <w:t>Director</w:t>
            </w:r>
          </w:p>
        </w:tc>
        <w:tc>
          <w:tcPr>
            <w:tcW w:type="dxa" w:w="1440"/>
          </w:tcPr>
          <w:p>
            <w:r>
              <w:rPr>
                <w:rFonts w:ascii="Calibri" w:hAnsi="Calibri"/>
                <w:sz w:val="22"/>
              </w:rPr>
              <w:t>Director Stock Unit Grant (Code J)</w:t>
            </w:r>
          </w:p>
        </w:tc>
        <w:tc>
          <w:tcPr>
            <w:tcW w:type="dxa" w:w="1440"/>
          </w:tcPr>
          <w:p>
            <w:r>
              <w:rPr>
                <w:rFonts w:ascii="Calibri" w:hAnsi="Calibri"/>
                <w:sz w:val="22"/>
              </w:rPr>
              <w:t>319.6 Stock Units (quarterly grant)</w:t>
            </w:r>
          </w:p>
        </w:tc>
        <w:tc>
          <w:tcPr>
            <w:tcW w:type="dxa" w:w="1440"/>
          </w:tcPr>
          <w:p>
            <w:r>
              <w:rPr>
                <w:rFonts w:ascii="Calibri" w:hAnsi="Calibri"/>
                <w:sz w:val="22"/>
              </w:rPr>
              <w:t>July 1, 2026</w:t>
            </w:r>
          </w:p>
        </w:tc>
        <w:tc>
          <w:tcPr>
            <w:tcW w:type="dxa" w:w="1440"/>
          </w:tcPr>
          <w:p>
            <w:r>
              <w:rPr>
                <w:rFonts w:ascii="Calibri" w:hAnsi="Calibri"/>
                <w:sz w:val="22"/>
              </w:rPr>
              <w:t>Routine quarterly director stock unit grant — not discretionary</w:t>
            </w:r>
          </w:p>
        </w:tc>
      </w:tr>
    </w:tbl>
    <w:p>
      <w:r>
        <w:rPr>
          <w:rFonts w:ascii="Calibri" w:hAnsi="Calibri"/>
          <w:b/>
          <w:color w:val="525866"/>
          <w:sz w:val="22"/>
        </w:rPr>
        <w:t xml:space="preserve">Note: </w:t>
      </w:r>
      <w:r>
        <w:rPr>
          <w:rFonts w:ascii="Calibri" w:hAnsi="Calibri"/>
          <w:color w:val="525866"/>
          <w:sz w:val="22"/>
        </w:rPr>
        <w:t>All transactions in the window (April 28 – July 27, 2026) are Code J (routine plan accruals/contributions), Code M (RSU vesting), or Code F (tax withholding). There are zero open-market buys (Code P) or open-market sells (Code S) filed. No 10b5-1 plan initiations were disclosed. The absence of discretionary activity is consistent with the pre-earnings quiet period and does not provide a directional signal.</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