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PACCAR Inc. (PCAR)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PACCAR Inc.</w:t>
            </w:r>
          </w:p>
        </w:tc>
        <w:tc>
          <w:tcPr>
            <w:tcW w:type="dxa" w:w="2160"/>
          </w:tcPr>
          <w:p>
            <w:r>
              <w:rPr>
                <w:rFonts w:ascii="Calibri" w:hAnsi="Calibri"/>
                <w:b/>
                <w:sz w:val="22"/>
              </w:rPr>
              <w:t>Earnings Date</w:t>
            </w:r>
          </w:p>
        </w:tc>
        <w:tc>
          <w:tcPr>
            <w:tcW w:type="dxa" w:w="2160"/>
          </w:tcPr>
          <w:p>
            <w:r>
              <w:rPr>
                <w:rFonts w:ascii="Calibri" w:hAnsi="Calibri"/>
                <w:sz w:val="22"/>
              </w:rPr>
              <w:t>July 28, 2026</w:t>
            </w:r>
          </w:p>
        </w:tc>
      </w:tr>
      <w:tr>
        <w:tc>
          <w:tcPr>
            <w:tcW w:type="dxa" w:w="2160"/>
          </w:tcPr>
          <w:p>
            <w:r>
              <w:rPr>
                <w:rFonts w:ascii="Calibri" w:hAnsi="Calibri"/>
                <w:b/>
                <w:sz w:val="22"/>
              </w:rPr>
              <w:t>Ticker</w:t>
            </w:r>
          </w:p>
        </w:tc>
        <w:tc>
          <w:tcPr>
            <w:tcW w:type="dxa" w:w="2160"/>
          </w:tcPr>
          <w:p>
            <w:r>
              <w:rPr>
                <w:rFonts w:ascii="Calibri" w:hAnsi="Calibri"/>
                <w:sz w:val="22"/>
              </w:rPr>
              <w:t>PCAR US</w:t>
            </w:r>
          </w:p>
        </w:tc>
        <w:tc>
          <w:tcPr>
            <w:tcW w:type="dxa" w:w="2160"/>
          </w:tcPr>
          <w:p>
            <w:r>
              <w:rPr>
                <w:rFonts w:ascii="Calibri" w:hAnsi="Calibri"/>
                <w:b/>
                <w:sz w:val="22"/>
              </w:rPr>
              <w:t>Prepared</w:t>
            </w:r>
          </w:p>
        </w:tc>
        <w:tc>
          <w:tcPr>
            <w:tcW w:type="dxa" w:w="2160"/>
          </w:tcPr>
          <w:p>
            <w:r>
              <w:rPr>
                <w:rFonts w:ascii="Calibri" w:hAnsi="Calibri"/>
                <w:sz w:val="22"/>
              </w:rPr>
              <w:t>July 27, 2026</w:t>
            </w:r>
          </w:p>
        </w:tc>
      </w:tr>
      <w:tr>
        <w:tc>
          <w:tcPr>
            <w:tcW w:type="dxa" w:w="2160"/>
          </w:tcPr>
          <w:p>
            <w:r>
              <w:rPr>
                <w:rFonts w:ascii="Calibri" w:hAnsi="Calibri"/>
                <w:b/>
                <w:sz w:val="22"/>
              </w:rPr>
              <w:t>Reporting Period</w:t>
            </w:r>
          </w:p>
        </w:tc>
        <w:tc>
          <w:tcPr>
            <w:tcW w:type="dxa" w:w="2160"/>
          </w:tcPr>
          <w:p>
            <w:r>
              <w:rPr>
                <w:rFonts w:ascii="Calibri" w:hAnsi="Calibri"/>
                <w:sz w:val="22"/>
              </w:rPr>
              <w:t>Q2 2026 (quarter ended June 30, 2026)</w:t>
            </w:r>
          </w:p>
        </w:tc>
        <w:tc>
          <w:tcPr>
            <w:tcW w:type="dxa" w:w="2160"/>
          </w:tcPr>
          <w:p>
            <w:r>
              <w:rPr>
                <w:rFonts w:ascii="Calibri" w:hAnsi="Calibri"/>
                <w:b/>
                <w:sz w:val="22"/>
              </w:rPr>
              <w:t>Last Earnings</w:t>
            </w:r>
          </w:p>
        </w:tc>
        <w:tc>
          <w:tcPr>
            <w:tcW w:type="dxa" w:w="2160"/>
          </w:tcPr>
          <w:p>
            <w:r>
              <w:rPr>
                <w:rFonts w:ascii="Calibri" w:hAnsi="Calibri"/>
                <w:sz w:val="22"/>
              </w:rPr>
              <w:t>April 28, 2026 (Q1 2026)</w:t>
            </w:r>
          </w:p>
        </w:tc>
      </w:tr>
    </w:tbl>
    <w:p>
      <w:pPr>
        <w:pStyle w:val="Heading2"/>
      </w:pPr>
      <w:r>
        <w:rPr>
          <w:rFonts w:ascii="Calibri" w:hAnsi="Calibri"/>
          <w:b/>
          <w:color w:val="3B4259"/>
          <w:sz w:val="28"/>
        </w:rPr>
        <w:t>Earnings Preview</w:t>
      </w:r>
    </w:p>
    <w:p>
      <w:r>
        <w:rPr>
          <w:rFonts w:ascii="Calibri" w:hAnsi="Calibri"/>
          <w:b/>
          <w:color w:val="525866"/>
          <w:sz w:val="22"/>
        </w:rPr>
        <w:t xml:space="preserve">Key Takeaway: </w:t>
      </w:r>
      <w:r>
        <w:rPr>
          <w:rFonts w:ascii="Calibri" w:hAnsi="Calibri"/>
          <w:color w:val="525866"/>
          <w:sz w:val="22"/>
        </w:rPr>
        <w:t>The setup favors a beat — consensus is a manageable bar, Q2 delivery guidance of 37,000–38,000 units was pre-announced, and truck margins are on a confirmed upward trajectory — but the stock has already rallied ~11% since the Q1 print, so the market needs to see margin execution and H2 conviction to sustain the move.</w:t>
      </w:r>
    </w:p>
    <w:p>
      <w:r>
        <w:rPr>
          <w:rFonts w:ascii="Calibri" w:hAnsi="Calibri"/>
          <w:color w:val="525866"/>
          <w:sz w:val="22"/>
        </w:rPr>
        <w:t xml:space="preserve">Heading into Q2 2026, PACCAR's bar looks achievable: management guided deliveries of </w:t>
      </w:r>
      <w:r>
        <w:rPr>
          <w:rFonts w:ascii="Calibri" w:hAnsi="Calibri"/>
          <w:b/>
          <w:color w:val="525866"/>
          <w:sz w:val="22"/>
        </w:rPr>
        <w:t>37,000–38,000 units</w:t>
      </w:r>
      <w:r>
        <w:rPr>
          <w:rFonts w:ascii="Calibri" w:hAnsi="Calibri"/>
          <w:color w:val="525866"/>
          <w:sz w:val="22"/>
        </w:rPr>
        <w:t xml:space="preserve"> (up ~13% sequentially from Q1's 33,100) and Truck, Parts &amp; Other gross margins of </w:t>
      </w:r>
      <w:r>
        <w:rPr>
          <w:rFonts w:ascii="Calibri" w:hAnsi="Calibri"/>
          <w:b/>
          <w:color w:val="525866"/>
          <w:sz w:val="22"/>
        </w:rPr>
        <w:t>~13.5%</w:t>
      </w:r>
      <w:r>
        <w:rPr>
          <w:rFonts w:ascii="Calibri" w:hAnsi="Calibri"/>
          <w:color w:val="525866"/>
          <w:sz w:val="22"/>
        </w:rPr>
        <w:t xml:space="preserve"> (up from 13.1% in Q1), both of which were explicitly telegraphed on the April 28 earnings call, leaving little room for surprise on the downside but meaningful upside if pricing or mix outperforms. Management's tone shifted decisively constructive at Q1 — the trough thesis was confirmed, the Section 232 tariff credit mechanism is "fairly well defined," and the production backlog is described as full in Q2 and majority-full in Q3/Q4 — suggesting guidance is grounded rather than aspirational. Estimate revisions have been modestly positive since the Q1 print, with Q2 diluted operating EPS consensus moving from $1.350 to $1.342, essentially flat, implying the Street has not aggressively front-run the delivery ramp. The stock has re-rated from ~$120 to ~$133 since last earnings, with the 1-month move driven almost entirely by </w:t>
      </w:r>
      <w:r>
        <w:rPr>
          <w:rFonts w:ascii="Calibri" w:hAnsi="Calibri"/>
          <w:b/>
          <w:color w:val="525866"/>
          <w:sz w:val="22"/>
        </w:rPr>
        <w:t>multiple expansion</w:t>
      </w:r>
      <w:r>
        <w:rPr>
          <w:rFonts w:ascii="Calibri" w:hAnsi="Calibri"/>
          <w:color w:val="525866"/>
          <w:sz w:val="22"/>
        </w:rPr>
        <w:t xml:space="preserve"> rather than estimate upgrades, which raises the bar for a sustained re-rating post-print. The single biggest wildcard is </w:t>
      </w:r>
      <w:r>
        <w:rPr>
          <w:rFonts w:ascii="Calibri" w:hAnsi="Calibri"/>
          <w:b/>
          <w:color w:val="525866"/>
          <w:sz w:val="22"/>
        </w:rPr>
        <w:t>truck gross margin</w:t>
      </w:r>
      <w:r>
        <w:rPr>
          <w:rFonts w:ascii="Calibri" w:hAnsi="Calibri"/>
          <w:color w:val="525866"/>
          <w:sz w:val="22"/>
        </w:rPr>
        <w:t xml:space="preserve"> — raw material cost volatility (steel, aluminum, energy) and still-competitive pricing could compress the 13.5% guided figure, while any incremental Section 232 tariff credit recognition (similar to the ~€120M catch-up Traton booked in Q2) could provide upside surprise.</w:t>
      </w:r>
    </w:p>
    <w:p>
      <w:pPr>
        <w:pStyle w:val="Heading2"/>
      </w:pPr>
      <w:r>
        <w:rPr>
          <w:rFonts w:ascii="Calibri" w:hAnsi="Calibri"/>
          <w:b/>
          <w:color w:val="3B4259"/>
          <w:sz w:val="28"/>
        </w:rPr>
        <w:t>KPIs &amp; Consensus Expectations</w:t>
      </w:r>
    </w:p>
    <w:p>
      <w:r>
        <w:rPr>
          <w:rFonts w:ascii="Calibri" w:hAnsi="Calibri"/>
          <w:b/>
          <w:color w:val="525866"/>
          <w:sz w:val="22"/>
        </w:rPr>
        <w:t xml:space="preserve">Key Takeaway: </w:t>
      </w:r>
      <w:r>
        <w:rPr>
          <w:rFonts w:ascii="Calibri" w:hAnsi="Calibri"/>
          <w:color w:val="525866"/>
          <w:sz w:val="22"/>
        </w:rPr>
        <w:t xml:space="preserve">Consensus is a low-to-moderate bar — management pre-guided both deliveries and margins at Q1, so the Street's estimates are anchored to disclosed targets. </w:t>
      </w:r>
      <w:r>
        <w:rPr>
          <w:rFonts w:ascii="Calibri" w:hAnsi="Calibri"/>
          <w:b/>
          <w:color w:val="525866"/>
          <w:sz w:val="22"/>
        </w:rPr>
        <w:t>Truck gross margin</w:t>
      </w:r>
      <w:r>
        <w:rPr>
          <w:rFonts w:ascii="Calibri" w:hAnsi="Calibri"/>
          <w:color w:val="525866"/>
          <w:sz w:val="22"/>
        </w:rPr>
        <w:t xml:space="preserve"> is the bigger swing factor; a miss there would overshadow any volume beat.</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(Q1 Call)</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Diluted Operating EPS ($)</w:t>
            </w:r>
          </w:p>
        </w:tc>
        <w:tc>
          <w:tcPr>
            <w:tcW w:type="dxa" w:w="1234"/>
          </w:tcPr>
          <w:p>
            <w:r>
              <w:rPr>
                <w:rFonts w:ascii="Calibri" w:hAnsi="Calibri"/>
                <w:sz w:val="22"/>
              </w:rPr>
              <w:t>$1.148</w:t>
            </w:r>
          </w:p>
        </w:tc>
        <w:tc>
          <w:tcPr>
            <w:tcW w:type="dxa" w:w="1234"/>
          </w:tcPr>
          <w:p>
            <w:r>
              <w:rPr>
                <w:rFonts w:ascii="Calibri" w:hAnsi="Calibri"/>
                <w:sz w:val="22"/>
              </w:rPr>
              <w:t>$1.374</w:t>
            </w:r>
          </w:p>
        </w:tc>
        <w:tc>
          <w:tcPr>
            <w:tcW w:type="dxa" w:w="1234"/>
          </w:tcPr>
          <w:p>
            <w:r>
              <w:rPr>
                <w:rFonts w:ascii="Calibri" w:hAnsi="Calibri"/>
                <w:sz w:val="22"/>
              </w:rPr>
              <w:t>$1.342</w:t>
            </w:r>
          </w:p>
        </w:tc>
        <w:tc>
          <w:tcPr>
            <w:tcW w:type="dxa" w:w="1234"/>
          </w:tcPr>
          <w:p>
            <w:r>
              <w:rPr>
                <w:rFonts w:ascii="Calibri" w:hAnsi="Calibri"/>
                <w:sz w:val="22"/>
              </w:rPr>
              <w:t>−2.3%</w:t>
            </w:r>
          </w:p>
        </w:tc>
        <w:tc>
          <w:tcPr>
            <w:tcW w:type="dxa" w:w="1234"/>
          </w:tcPr>
          <w:p>
            <w:r>
              <w:rPr>
                <w:rFonts w:ascii="Calibri" w:hAnsi="Calibri"/>
                <w:sz w:val="22"/>
              </w:rPr>
              <w:t>N/A (no explicit EPS guide)</w:t>
            </w:r>
          </w:p>
        </w:tc>
        <w:tc>
          <w:tcPr>
            <w:tcW w:type="dxa" w:w="1234"/>
          </w:tcPr>
          <w:p>
            <w:r>
              <w:rPr>
                <w:rFonts w:ascii="Calibri" w:hAnsi="Calibri"/>
                <w:sz w:val="22"/>
              </w:rPr>
              <w:t>N/A</w:t>
            </w:r>
          </w:p>
        </w:tc>
      </w:tr>
      <w:tr>
        <w:tc>
          <w:tcPr>
            <w:tcW w:type="dxa" w:w="1234"/>
          </w:tcPr>
          <w:p>
            <w:r>
              <w:rPr>
                <w:rFonts w:ascii="Calibri" w:hAnsi="Calibri"/>
                <w:sz w:val="22"/>
              </w:rPr>
              <w:t>Total Revenue ($B)</w:t>
            </w:r>
          </w:p>
        </w:tc>
        <w:tc>
          <w:tcPr>
            <w:tcW w:type="dxa" w:w="1234"/>
          </w:tcPr>
          <w:p>
            <w:r>
              <w:rPr>
                <w:rFonts w:ascii="Calibri" w:hAnsi="Calibri"/>
                <w:sz w:val="22"/>
              </w:rPr>
              <w:t>$6.78B</w:t>
            </w:r>
          </w:p>
        </w:tc>
        <w:tc>
          <w:tcPr>
            <w:tcW w:type="dxa" w:w="1234"/>
          </w:tcPr>
          <w:p>
            <w:r>
              <w:rPr>
                <w:rFonts w:ascii="Calibri" w:hAnsi="Calibri"/>
                <w:sz w:val="22"/>
              </w:rPr>
              <w:t>$7.51B</w:t>
            </w:r>
          </w:p>
        </w:tc>
        <w:tc>
          <w:tcPr>
            <w:tcW w:type="dxa" w:w="1234"/>
          </w:tcPr>
          <w:p>
            <w:r>
              <w:rPr>
                <w:rFonts w:ascii="Calibri" w:hAnsi="Calibri"/>
                <w:sz w:val="22"/>
              </w:rPr>
              <w:t>$7.56B</w:t>
            </w:r>
          </w:p>
        </w:tc>
        <w:tc>
          <w:tcPr>
            <w:tcW w:type="dxa" w:w="1234"/>
          </w:tcPr>
          <w:p>
            <w:r>
              <w:rPr>
                <w:rFonts w:ascii="Calibri" w:hAnsi="Calibri"/>
                <w:sz w:val="22"/>
              </w:rPr>
              <w:t>+0.6%</w:t>
            </w:r>
          </w:p>
        </w:tc>
        <w:tc>
          <w:tcPr>
            <w:tcW w:type="dxa" w:w="1234"/>
          </w:tcPr>
          <w:p>
            <w:r>
              <w:rPr>
                <w:rFonts w:ascii="Calibri" w:hAnsi="Calibri"/>
                <w:sz w:val="22"/>
              </w:rPr>
              <w:t>N/A (no explicit revenue guide)</w:t>
            </w:r>
          </w:p>
        </w:tc>
        <w:tc>
          <w:tcPr>
            <w:tcW w:type="dxa" w:w="1234"/>
          </w:tcPr>
          <w:p>
            <w:r>
              <w:rPr>
                <w:rFonts w:ascii="Calibri" w:hAnsi="Calibri"/>
                <w:sz w:val="22"/>
              </w:rPr>
              <w:t>N/A</w:t>
            </w:r>
          </w:p>
        </w:tc>
      </w:tr>
      <w:tr>
        <w:tc>
          <w:tcPr>
            <w:tcW w:type="dxa" w:w="1234"/>
          </w:tcPr>
          <w:p>
            <w:r>
              <w:rPr>
                <w:rFonts w:ascii="Calibri" w:hAnsi="Calibri"/>
                <w:sz w:val="22"/>
              </w:rPr>
              <w:t>Truck Revenue ($B)</w:t>
            </w:r>
          </w:p>
        </w:tc>
        <w:tc>
          <w:tcPr>
            <w:tcW w:type="dxa" w:w="1234"/>
          </w:tcPr>
          <w:p>
            <w:r>
              <w:rPr>
                <w:rFonts w:ascii="Calibri" w:hAnsi="Calibri"/>
                <w:sz w:val="22"/>
              </w:rPr>
              <w:t>$4.53B</w:t>
            </w:r>
          </w:p>
        </w:tc>
        <w:tc>
          <w:tcPr>
            <w:tcW w:type="dxa" w:w="1234"/>
          </w:tcPr>
          <w:p>
            <w:r>
              <w:rPr>
                <w:rFonts w:ascii="Calibri" w:hAnsi="Calibri"/>
                <w:sz w:val="22"/>
              </w:rPr>
              <w:t>$5.24B</w:t>
            </w:r>
          </w:p>
        </w:tc>
        <w:tc>
          <w:tcPr>
            <w:tcW w:type="dxa" w:w="1234"/>
          </w:tcPr>
          <w:p>
            <w:r>
              <w:rPr>
                <w:rFonts w:ascii="Calibri" w:hAnsi="Calibri"/>
                <w:sz w:val="22"/>
              </w:rPr>
              <w:t>$5.25B</w:t>
            </w:r>
          </w:p>
        </w:tc>
        <w:tc>
          <w:tcPr>
            <w:tcW w:type="dxa" w:w="1234"/>
          </w:tcPr>
          <w:p>
            <w:r>
              <w:rPr>
                <w:rFonts w:ascii="Calibri" w:hAnsi="Calibri"/>
                <w:sz w:val="22"/>
              </w:rPr>
              <w:t>+0.3%</w:t>
            </w:r>
          </w:p>
        </w:tc>
        <w:tc>
          <w:tcPr>
            <w:tcW w:type="dxa" w:w="1234"/>
          </w:tcPr>
          <w:p>
            <w:r>
              <w:rPr>
                <w:rFonts w:ascii="Calibri" w:hAnsi="Calibri"/>
                <w:sz w:val="22"/>
              </w:rPr>
              <w:t>Implied by 37–38k deliveries</w:t>
            </w:r>
          </w:p>
        </w:tc>
        <w:tc>
          <w:tcPr>
            <w:tcW w:type="dxa" w:w="1234"/>
          </w:tcPr>
          <w:p>
            <w:r>
              <w:rPr>
                <w:rFonts w:ascii="Calibri" w:hAnsi="Calibri"/>
                <w:sz w:val="22"/>
              </w:rPr>
              <w:t>~Inline</w:t>
            </w:r>
          </w:p>
        </w:tc>
      </w:tr>
      <w:tr>
        <w:tc>
          <w:tcPr>
            <w:tcW w:type="dxa" w:w="1234"/>
          </w:tcPr>
          <w:p>
            <w:r>
              <w:rPr>
                <w:rFonts w:ascii="Calibri" w:hAnsi="Calibri"/>
                <w:sz w:val="22"/>
              </w:rPr>
              <w:t>Parts Revenue ($B)</w:t>
            </w:r>
          </w:p>
        </w:tc>
        <w:tc>
          <w:tcPr>
            <w:tcW w:type="dxa" w:w="1234"/>
          </w:tcPr>
          <w:p>
            <w:r>
              <w:rPr>
                <w:rFonts w:ascii="Calibri" w:hAnsi="Calibri"/>
                <w:sz w:val="22"/>
              </w:rPr>
              <w:t>$1.71B</w:t>
            </w:r>
          </w:p>
        </w:tc>
        <w:tc>
          <w:tcPr>
            <w:tcW w:type="dxa" w:w="1234"/>
          </w:tcPr>
          <w:p>
            <w:r>
              <w:rPr>
                <w:rFonts w:ascii="Calibri" w:hAnsi="Calibri"/>
                <w:sz w:val="22"/>
              </w:rPr>
              <w:t>$1.72B</w:t>
            </w:r>
          </w:p>
        </w:tc>
        <w:tc>
          <w:tcPr>
            <w:tcW w:type="dxa" w:w="1234"/>
          </w:tcPr>
          <w:p>
            <w:r>
              <w:rPr>
                <w:rFonts w:ascii="Calibri" w:hAnsi="Calibri"/>
                <w:sz w:val="22"/>
              </w:rPr>
              <w:t>$1.77B</w:t>
            </w:r>
          </w:p>
        </w:tc>
        <w:tc>
          <w:tcPr>
            <w:tcW w:type="dxa" w:w="1234"/>
          </w:tcPr>
          <w:p>
            <w:r>
              <w:rPr>
                <w:rFonts w:ascii="Calibri" w:hAnsi="Calibri"/>
                <w:sz w:val="22"/>
              </w:rPr>
              <w:t>+2.9%</w:t>
            </w:r>
          </w:p>
        </w:tc>
        <w:tc>
          <w:tcPr>
            <w:tcW w:type="dxa" w:w="1234"/>
          </w:tcPr>
          <w:p>
            <w:r>
              <w:rPr>
                <w:rFonts w:ascii="Calibri" w:hAnsi="Calibri"/>
                <w:sz w:val="22"/>
              </w:rPr>
              <w:t>+3% QoQ growth guided</w:t>
            </w:r>
          </w:p>
        </w:tc>
        <w:tc>
          <w:tcPr>
            <w:tcW w:type="dxa" w:w="1234"/>
          </w:tcPr>
          <w:p>
            <w:r>
              <w:rPr>
                <w:rFonts w:ascii="Calibri" w:hAnsi="Calibri"/>
                <w:sz w:val="22"/>
              </w:rPr>
              <w:t>~Inline</w:t>
            </w:r>
          </w:p>
        </w:tc>
      </w:tr>
      <w:tr>
        <w:tc>
          <w:tcPr>
            <w:tcW w:type="dxa" w:w="1234"/>
          </w:tcPr>
          <w:p>
            <w:r>
              <w:rPr>
                <w:rFonts w:ascii="Calibri" w:hAnsi="Calibri"/>
                <w:sz w:val="22"/>
              </w:rPr>
              <w:t>Truck Gross Margin (%)</w:t>
            </w:r>
          </w:p>
        </w:tc>
        <w:tc>
          <w:tcPr>
            <w:tcW w:type="dxa" w:w="1234"/>
          </w:tcPr>
          <w:p>
            <w:r>
              <w:rPr>
                <w:rFonts w:ascii="Calibri" w:hAnsi="Calibri"/>
                <w:sz w:val="22"/>
              </w:rPr>
              <w:t>~7.0%</w:t>
            </w:r>
          </w:p>
        </w:tc>
        <w:tc>
          <w:tcPr>
            <w:tcW w:type="dxa" w:w="1234"/>
          </w:tcPr>
          <w:p>
            <w:r>
              <w:rPr>
                <w:rFonts w:ascii="Calibri" w:hAnsi="Calibri"/>
                <w:sz w:val="22"/>
              </w:rPr>
              <w:t>8.7%</w:t>
            </w:r>
          </w:p>
        </w:tc>
        <w:tc>
          <w:tcPr>
            <w:tcW w:type="dxa" w:w="1234"/>
          </w:tcPr>
          <w:p>
            <w:r>
              <w:rPr>
                <w:rFonts w:ascii="Calibri" w:hAnsi="Calibri"/>
                <w:sz w:val="22"/>
              </w:rPr>
              <w:t>~8.0%</w:t>
            </w:r>
          </w:p>
        </w:tc>
        <w:tc>
          <w:tcPr>
            <w:tcW w:type="dxa" w:w="1234"/>
          </w:tcPr>
          <w:p>
            <w:r>
              <w:rPr>
                <w:rFonts w:ascii="Calibri" w:hAnsi="Calibri"/>
                <w:sz w:val="22"/>
              </w:rPr>
              <w:t>− ~70 bps</w:t>
            </w:r>
          </w:p>
        </w:tc>
        <w:tc>
          <w:tcPr>
            <w:tcW w:type="dxa" w:w="1234"/>
          </w:tcPr>
          <w:p>
            <w:r>
              <w:rPr>
                <w:rFonts w:ascii="Calibri" w:hAnsi="Calibri"/>
                <w:sz w:val="22"/>
              </w:rPr>
              <w:t>Truck, Parts &amp; Other ~13.5% total</w:t>
            </w:r>
          </w:p>
        </w:tc>
        <w:tc>
          <w:tcPr>
            <w:tcW w:type="dxa" w:w="1234"/>
          </w:tcPr>
          <w:p>
            <w:r>
              <w:rPr>
                <w:rFonts w:ascii="Calibri" w:hAnsi="Calibri"/>
                <w:sz w:val="22"/>
              </w:rPr>
              <w:t>~Inline</w:t>
            </w:r>
          </w:p>
        </w:tc>
      </w:tr>
      <w:tr>
        <w:tc>
          <w:tcPr>
            <w:tcW w:type="dxa" w:w="1234"/>
          </w:tcPr>
          <w:p>
            <w:r>
              <w:rPr>
                <w:rFonts w:ascii="Calibri" w:hAnsi="Calibri"/>
                <w:sz w:val="22"/>
              </w:rPr>
              <w:t>Truck Deliveries — Total (#)</w:t>
            </w:r>
          </w:p>
        </w:tc>
        <w:tc>
          <w:tcPr>
            <w:tcW w:type="dxa" w:w="1234"/>
          </w:tcPr>
          <w:p>
            <w:r>
              <w:rPr>
                <w:rFonts w:ascii="Calibri" w:hAnsi="Calibri"/>
                <w:sz w:val="22"/>
              </w:rPr>
              <w:t>33,100</w:t>
            </w:r>
          </w:p>
        </w:tc>
        <w:tc>
          <w:tcPr>
            <w:tcW w:type="dxa" w:w="1234"/>
          </w:tcPr>
          <w:p>
            <w:r>
              <w:rPr>
                <w:rFonts w:ascii="Calibri" w:hAnsi="Calibri"/>
                <w:sz w:val="22"/>
              </w:rPr>
              <w:t>39,300</w:t>
            </w:r>
          </w:p>
        </w:tc>
        <w:tc>
          <w:tcPr>
            <w:tcW w:type="dxa" w:w="1234"/>
          </w:tcPr>
          <w:p>
            <w:r>
              <w:rPr>
                <w:rFonts w:ascii="Calibri" w:hAnsi="Calibri"/>
                <w:sz w:val="22"/>
              </w:rPr>
              <w:t>~37,785</w:t>
            </w:r>
          </w:p>
        </w:tc>
        <w:tc>
          <w:tcPr>
            <w:tcW w:type="dxa" w:w="1234"/>
          </w:tcPr>
          <w:p>
            <w:r>
              <w:rPr>
                <w:rFonts w:ascii="Calibri" w:hAnsi="Calibri"/>
                <w:sz w:val="22"/>
              </w:rPr>
              <w:t>−3.8%</w:t>
            </w:r>
          </w:p>
        </w:tc>
        <w:tc>
          <w:tcPr>
            <w:tcW w:type="dxa" w:w="1234"/>
          </w:tcPr>
          <w:p>
            <w:r>
              <w:rPr>
                <w:rFonts w:ascii="Calibri" w:hAnsi="Calibri"/>
                <w:sz w:val="22"/>
              </w:rPr>
              <w:t>37,000–38,000</w:t>
            </w:r>
          </w:p>
        </w:tc>
        <w:tc>
          <w:tcPr>
            <w:tcW w:type="dxa" w:w="1234"/>
          </w:tcPr>
          <w:p>
            <w:r>
              <w:rPr>
                <w:rFonts w:ascii="Calibri" w:hAnsi="Calibri"/>
                <w:sz w:val="22"/>
              </w:rPr>
              <w:t>~Inline (+0.5%)</w:t>
            </w:r>
          </w:p>
        </w:tc>
      </w:tr>
      <w:tr>
        <w:tc>
          <w:tcPr>
            <w:tcW w:type="dxa" w:w="1234"/>
          </w:tcPr>
          <w:p>
            <w:r>
              <w:rPr>
                <w:rFonts w:ascii="Calibri" w:hAnsi="Calibri"/>
                <w:sz w:val="22"/>
              </w:rPr>
              <w:t>NA Class 8 Industry Production (#)</w:t>
            </w:r>
          </w:p>
        </w:tc>
        <w:tc>
          <w:tcPr>
            <w:tcW w:type="dxa" w:w="1234"/>
          </w:tcPr>
          <w:p>
            <w:r>
              <w:rPr>
                <w:rFonts w:ascii="Calibri" w:hAnsi="Calibri"/>
                <w:sz w:val="22"/>
              </w:rPr>
              <w:t>49,686</w:t>
            </w:r>
          </w:p>
        </w:tc>
        <w:tc>
          <w:tcPr>
            <w:tcW w:type="dxa" w:w="1234"/>
          </w:tcPr>
          <w:p>
            <w:r>
              <w:rPr>
                <w:rFonts w:ascii="Calibri" w:hAnsi="Calibri"/>
                <w:sz w:val="22"/>
              </w:rPr>
              <w:t>68,146</w:t>
            </w:r>
          </w:p>
        </w:tc>
        <w:tc>
          <w:tcPr>
            <w:tcW w:type="dxa" w:w="1234"/>
          </w:tcPr>
          <w:p>
            <w:r>
              <w:rPr>
                <w:rFonts w:ascii="Calibri" w:hAnsi="Calibri"/>
                <w:sz w:val="22"/>
              </w:rPr>
              <w:t>~63,918</w:t>
            </w:r>
          </w:p>
        </w:tc>
        <w:tc>
          <w:tcPr>
            <w:tcW w:type="dxa" w:w="1234"/>
          </w:tcPr>
          <w:p>
            <w:r>
              <w:rPr>
                <w:rFonts w:ascii="Calibri" w:hAnsi="Calibri"/>
                <w:sz w:val="22"/>
              </w:rPr>
              <w:t>−6.2%</w:t>
            </w:r>
          </w:p>
        </w:tc>
        <w:tc>
          <w:tcPr>
            <w:tcW w:type="dxa" w:w="1234"/>
          </w:tcPr>
          <w:p>
            <w:r>
              <w:rPr>
                <w:rFonts w:ascii="Calibri" w:hAnsi="Calibri"/>
                <w:sz w:val="22"/>
              </w:rPr>
              <w:t>230k–270k FY2026</w:t>
            </w:r>
          </w:p>
        </w:tc>
        <w:tc>
          <w:tcPr>
            <w:tcW w:type="dxa" w:w="1234"/>
          </w:tcPr>
          <w:p>
            <w:r>
              <w:rPr>
                <w:rFonts w:ascii="Calibri" w:hAnsi="Calibri"/>
                <w:sz w:val="22"/>
              </w:rPr>
              <w:t>N/A (FY guide only)</w:t>
            </w:r>
          </w:p>
        </w:tc>
      </w:tr>
    </w:tbl>
    <w:p>
      <w:r>
        <w:rPr>
          <w:rFonts w:ascii="Calibri" w:hAnsi="Calibri"/>
          <w:color w:val="525866"/>
          <w:sz w:val="22"/>
        </w:rPr>
        <w:t>Sources: Visible Alpha Consensus and Actuals Data for all consensus and actuals figures. Q1 2026 actuals and Q2 2026 guidance from PACCAR Q1 2026 Earnings Release and Earnings Call Transcript (April 28, 2026).</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Diluted Operating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1.148</w:t>
            </w:r>
          </w:p>
        </w:tc>
        <w:tc>
          <w:tcPr>
            <w:tcW w:type="dxa" w:w="1728"/>
          </w:tcPr>
          <w:p>
            <w:r>
              <w:rPr>
                <w:rFonts w:ascii="Calibri" w:hAnsi="Calibri"/>
                <w:sz w:val="22"/>
              </w:rPr>
              <w:t>1.151</w:t>
            </w:r>
          </w:p>
        </w:tc>
        <w:tc>
          <w:tcPr>
            <w:tcW w:type="dxa" w:w="1728"/>
          </w:tcPr>
          <w:p>
            <w:r>
              <w:rPr>
                <w:rFonts w:ascii="Calibri" w:hAnsi="Calibri"/>
                <w:sz w:val="22"/>
              </w:rPr>
              <w:t>−0.3%</w:t>
            </w:r>
          </w:p>
        </w:tc>
        <w:tc>
          <w:tcPr>
            <w:tcW w:type="dxa" w:w="1728"/>
          </w:tcPr>
          <w:p>
            <w:r>
              <w:rPr>
                <w:rFonts w:ascii="Calibri" w:hAnsi="Calibri"/>
                <w:b/>
                <w:color w:val="002FA7"/>
                <w:sz w:val="22"/>
              </w:rPr>
              <w:t>Inline</w:t>
            </w:r>
          </w:p>
        </w:tc>
      </w:tr>
      <w:tr>
        <w:tc>
          <w:tcPr>
            <w:tcW w:type="dxa" w:w="1728"/>
          </w:tcPr>
          <w:p>
            <w:r>
              <w:rPr>
                <w:rFonts w:ascii="Calibri" w:hAnsi="Calibri"/>
                <w:sz w:val="22"/>
              </w:rPr>
              <w:t>Q4 2025</w:t>
            </w:r>
          </w:p>
        </w:tc>
        <w:tc>
          <w:tcPr>
            <w:tcW w:type="dxa" w:w="1728"/>
          </w:tcPr>
          <w:p>
            <w:r>
              <w:rPr>
                <w:rFonts w:ascii="Calibri" w:hAnsi="Calibri"/>
                <w:sz w:val="22"/>
              </w:rPr>
              <w:t>1.057</w:t>
            </w:r>
          </w:p>
        </w:tc>
        <w:tc>
          <w:tcPr>
            <w:tcW w:type="dxa" w:w="1728"/>
          </w:tcPr>
          <w:p>
            <w:r>
              <w:rPr>
                <w:rFonts w:ascii="Calibri" w:hAnsi="Calibri"/>
                <w:sz w:val="22"/>
              </w:rPr>
              <w:t>1.062</w:t>
            </w:r>
          </w:p>
        </w:tc>
        <w:tc>
          <w:tcPr>
            <w:tcW w:type="dxa" w:w="1728"/>
          </w:tcPr>
          <w:p>
            <w:r>
              <w:rPr>
                <w:rFonts w:ascii="Calibri" w:hAnsi="Calibri"/>
                <w:sz w:val="22"/>
              </w:rPr>
              <w:t>−0.5%</w:t>
            </w:r>
          </w:p>
        </w:tc>
        <w:tc>
          <w:tcPr>
            <w:tcW w:type="dxa" w:w="1728"/>
          </w:tcPr>
          <w:p>
            <w:r>
              <w:rPr>
                <w:rFonts w:ascii="Calibri" w:hAnsi="Calibri"/>
                <w:b/>
                <w:color w:val="002FA7"/>
                <w:sz w:val="22"/>
              </w:rPr>
              <w:t>Inline</w:t>
            </w:r>
          </w:p>
        </w:tc>
      </w:tr>
      <w:tr>
        <w:tc>
          <w:tcPr>
            <w:tcW w:type="dxa" w:w="1728"/>
          </w:tcPr>
          <w:p>
            <w:r>
              <w:rPr>
                <w:rFonts w:ascii="Calibri" w:hAnsi="Calibri"/>
                <w:sz w:val="22"/>
              </w:rPr>
              <w:t>Q3 2025</w:t>
            </w:r>
          </w:p>
        </w:tc>
        <w:tc>
          <w:tcPr>
            <w:tcW w:type="dxa" w:w="1728"/>
          </w:tcPr>
          <w:p>
            <w:r>
              <w:rPr>
                <w:rFonts w:ascii="Calibri" w:hAnsi="Calibri"/>
                <w:sz w:val="22"/>
              </w:rPr>
              <w:t>1.120</w:t>
            </w:r>
          </w:p>
        </w:tc>
        <w:tc>
          <w:tcPr>
            <w:tcW w:type="dxa" w:w="1728"/>
          </w:tcPr>
          <w:p>
            <w:r>
              <w:rPr>
                <w:rFonts w:ascii="Calibri" w:hAnsi="Calibri"/>
                <w:sz w:val="22"/>
              </w:rPr>
              <w:t>1.126</w:t>
            </w:r>
          </w:p>
        </w:tc>
        <w:tc>
          <w:tcPr>
            <w:tcW w:type="dxa" w:w="1728"/>
          </w:tcPr>
          <w:p>
            <w:r>
              <w:rPr>
                <w:rFonts w:ascii="Calibri" w:hAnsi="Calibri"/>
                <w:sz w:val="22"/>
              </w:rPr>
              <w:t>−0.5%</w:t>
            </w:r>
          </w:p>
        </w:tc>
        <w:tc>
          <w:tcPr>
            <w:tcW w:type="dxa" w:w="1728"/>
          </w:tcPr>
          <w:p>
            <w:r>
              <w:rPr>
                <w:rFonts w:ascii="Calibri" w:hAnsi="Calibri"/>
                <w:b/>
                <w:color w:val="002FA7"/>
                <w:sz w:val="22"/>
              </w:rPr>
              <w:t>Inline</w:t>
            </w:r>
          </w:p>
        </w:tc>
      </w:tr>
      <w:tr>
        <w:tc>
          <w:tcPr>
            <w:tcW w:type="dxa" w:w="1728"/>
          </w:tcPr>
          <w:p>
            <w:r>
              <w:rPr>
                <w:rFonts w:ascii="Calibri" w:hAnsi="Calibri"/>
                <w:sz w:val="22"/>
              </w:rPr>
              <w:t>Q2 2025</w:t>
            </w:r>
          </w:p>
        </w:tc>
        <w:tc>
          <w:tcPr>
            <w:tcW w:type="dxa" w:w="1728"/>
          </w:tcPr>
          <w:p>
            <w:r>
              <w:rPr>
                <w:rFonts w:ascii="Calibri" w:hAnsi="Calibri"/>
                <w:sz w:val="22"/>
              </w:rPr>
              <w:t>1.374</w:t>
            </w:r>
          </w:p>
        </w:tc>
        <w:tc>
          <w:tcPr>
            <w:tcW w:type="dxa" w:w="1728"/>
          </w:tcPr>
          <w:p>
            <w:r>
              <w:rPr>
                <w:rFonts w:ascii="Calibri" w:hAnsi="Calibri"/>
                <w:sz w:val="22"/>
              </w:rPr>
              <w:t>1.282</w:t>
            </w:r>
          </w:p>
        </w:tc>
        <w:tc>
          <w:tcPr>
            <w:tcW w:type="dxa" w:w="1728"/>
          </w:tcPr>
          <w:p>
            <w:r>
              <w:rPr>
                <w:rFonts w:ascii="Calibri" w:hAnsi="Calibri"/>
                <w:sz w:val="22"/>
              </w:rPr>
              <w:t>+7.2%</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1.460</w:t>
            </w:r>
          </w:p>
        </w:tc>
        <w:tc>
          <w:tcPr>
            <w:tcW w:type="dxa" w:w="1728"/>
          </w:tcPr>
          <w:p>
            <w:r>
              <w:rPr>
                <w:rFonts w:ascii="Calibri" w:hAnsi="Calibri"/>
                <w:sz w:val="22"/>
              </w:rPr>
              <w:t>1.562</w:t>
            </w:r>
          </w:p>
        </w:tc>
        <w:tc>
          <w:tcPr>
            <w:tcW w:type="dxa" w:w="1728"/>
          </w:tcPr>
          <w:p>
            <w:r>
              <w:rPr>
                <w:rFonts w:ascii="Calibri" w:hAnsi="Calibri"/>
                <w:sz w:val="22"/>
              </w:rPr>
              <w:t>−6.5%</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1.656</w:t>
            </w:r>
          </w:p>
        </w:tc>
        <w:tc>
          <w:tcPr>
            <w:tcW w:type="dxa" w:w="1728"/>
          </w:tcPr>
          <w:p>
            <w:r>
              <w:rPr>
                <w:rFonts w:ascii="Calibri" w:hAnsi="Calibri"/>
                <w:sz w:val="22"/>
              </w:rPr>
              <w:t>1.713</w:t>
            </w:r>
          </w:p>
        </w:tc>
        <w:tc>
          <w:tcPr>
            <w:tcW w:type="dxa" w:w="1728"/>
          </w:tcPr>
          <w:p>
            <w:r>
              <w:rPr>
                <w:rFonts w:ascii="Calibri" w:hAnsi="Calibri"/>
                <w:sz w:val="22"/>
              </w:rPr>
              <w:t>−3.3%</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1.846</w:t>
            </w:r>
          </w:p>
        </w:tc>
        <w:tc>
          <w:tcPr>
            <w:tcW w:type="dxa" w:w="1728"/>
          </w:tcPr>
          <w:p>
            <w:r>
              <w:rPr>
                <w:rFonts w:ascii="Calibri" w:hAnsi="Calibri"/>
                <w:sz w:val="22"/>
              </w:rPr>
              <w:t>1.810</w:t>
            </w:r>
          </w:p>
        </w:tc>
        <w:tc>
          <w:tcPr>
            <w:tcW w:type="dxa" w:w="1728"/>
          </w:tcPr>
          <w:p>
            <w:r>
              <w:rPr>
                <w:rFonts w:ascii="Calibri" w:hAnsi="Calibri"/>
                <w:sz w:val="22"/>
              </w:rPr>
              <w:t>+2.0%</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N/A — pre-range</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4"/>
      </w:pPr>
      <w:r>
        <w:rPr>
          <w:rFonts w:ascii="Calibri" w:hAnsi="Calibri"/>
          <w:b/>
          <w:color w:val="3B4259"/>
          <w:sz w:val="22"/>
        </w:rPr>
        <w:t>Truck Deliveries — Total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33,100</w:t>
            </w:r>
          </w:p>
        </w:tc>
        <w:tc>
          <w:tcPr>
            <w:tcW w:type="dxa" w:w="1728"/>
          </w:tcPr>
          <w:p>
            <w:r>
              <w:rPr>
                <w:rFonts w:ascii="Calibri" w:hAnsi="Calibri"/>
                <w:sz w:val="22"/>
              </w:rPr>
              <w:t>33,337</w:t>
            </w:r>
          </w:p>
        </w:tc>
        <w:tc>
          <w:tcPr>
            <w:tcW w:type="dxa" w:w="1728"/>
          </w:tcPr>
          <w:p>
            <w:r>
              <w:rPr>
                <w:rFonts w:ascii="Calibri" w:hAnsi="Calibri"/>
                <w:sz w:val="22"/>
              </w:rPr>
              <w:t>−0.7%</w:t>
            </w:r>
          </w:p>
        </w:tc>
        <w:tc>
          <w:tcPr>
            <w:tcW w:type="dxa" w:w="1728"/>
          </w:tcPr>
          <w:p>
            <w:r>
              <w:rPr>
                <w:rFonts w:ascii="Calibri" w:hAnsi="Calibri"/>
                <w:b/>
                <w:color w:val="002FA7"/>
                <w:sz w:val="22"/>
              </w:rPr>
              <w:t>Inline</w:t>
            </w:r>
          </w:p>
        </w:tc>
      </w:tr>
      <w:tr>
        <w:tc>
          <w:tcPr>
            <w:tcW w:type="dxa" w:w="1728"/>
          </w:tcPr>
          <w:p>
            <w:r>
              <w:rPr>
                <w:rFonts w:ascii="Calibri" w:hAnsi="Calibri"/>
                <w:sz w:val="22"/>
              </w:rPr>
              <w:t>Q4 2025</w:t>
            </w:r>
          </w:p>
        </w:tc>
        <w:tc>
          <w:tcPr>
            <w:tcW w:type="dxa" w:w="1728"/>
          </w:tcPr>
          <w:p>
            <w:r>
              <w:rPr>
                <w:rFonts w:ascii="Calibri" w:hAnsi="Calibri"/>
                <w:sz w:val="22"/>
              </w:rPr>
              <w:t>32,900</w:t>
            </w:r>
          </w:p>
        </w:tc>
        <w:tc>
          <w:tcPr>
            <w:tcW w:type="dxa" w:w="1728"/>
          </w:tcPr>
          <w:p>
            <w:r>
              <w:rPr>
                <w:rFonts w:ascii="Calibri" w:hAnsi="Calibri"/>
                <w:sz w:val="22"/>
              </w:rPr>
              <w:t>32,369</w:t>
            </w:r>
          </w:p>
        </w:tc>
        <w:tc>
          <w:tcPr>
            <w:tcW w:type="dxa" w:w="1728"/>
          </w:tcPr>
          <w:p>
            <w:r>
              <w:rPr>
                <w:rFonts w:ascii="Calibri" w:hAnsi="Calibri"/>
                <w:sz w:val="22"/>
              </w:rPr>
              <w:t>+1.6%</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31,900</w:t>
            </w:r>
          </w:p>
        </w:tc>
        <w:tc>
          <w:tcPr>
            <w:tcW w:type="dxa" w:w="1728"/>
          </w:tcPr>
          <w:p>
            <w:r>
              <w:rPr>
                <w:rFonts w:ascii="Calibri" w:hAnsi="Calibri"/>
                <w:sz w:val="22"/>
              </w:rPr>
              <w:t>31,938</w:t>
            </w:r>
          </w:p>
        </w:tc>
        <w:tc>
          <w:tcPr>
            <w:tcW w:type="dxa" w:w="1728"/>
          </w:tcPr>
          <w:p>
            <w:r>
              <w:rPr>
                <w:rFonts w:ascii="Calibri" w:hAnsi="Calibri"/>
                <w:sz w:val="22"/>
              </w:rPr>
              <w:t>−0.1%</w:t>
            </w:r>
          </w:p>
        </w:tc>
        <w:tc>
          <w:tcPr>
            <w:tcW w:type="dxa" w:w="1728"/>
          </w:tcPr>
          <w:p>
            <w:r>
              <w:rPr>
                <w:rFonts w:ascii="Calibri" w:hAnsi="Calibri"/>
                <w:b/>
                <w:color w:val="002FA7"/>
                <w:sz w:val="22"/>
              </w:rPr>
              <w:t>Inline</w:t>
            </w:r>
          </w:p>
        </w:tc>
      </w:tr>
      <w:tr>
        <w:tc>
          <w:tcPr>
            <w:tcW w:type="dxa" w:w="1728"/>
          </w:tcPr>
          <w:p>
            <w:r>
              <w:rPr>
                <w:rFonts w:ascii="Calibri" w:hAnsi="Calibri"/>
                <w:sz w:val="22"/>
              </w:rPr>
              <w:t>Q2 2025</w:t>
            </w:r>
          </w:p>
        </w:tc>
        <w:tc>
          <w:tcPr>
            <w:tcW w:type="dxa" w:w="1728"/>
          </w:tcPr>
          <w:p>
            <w:r>
              <w:rPr>
                <w:rFonts w:ascii="Calibri" w:hAnsi="Calibri"/>
                <w:sz w:val="22"/>
              </w:rPr>
              <w:t>39,300</w:t>
            </w:r>
          </w:p>
        </w:tc>
        <w:tc>
          <w:tcPr>
            <w:tcW w:type="dxa" w:w="1728"/>
          </w:tcPr>
          <w:p>
            <w:r>
              <w:rPr>
                <w:rFonts w:ascii="Calibri" w:hAnsi="Calibri"/>
                <w:sz w:val="22"/>
              </w:rPr>
              <w:t>38,092</w:t>
            </w:r>
          </w:p>
        </w:tc>
        <w:tc>
          <w:tcPr>
            <w:tcW w:type="dxa" w:w="1728"/>
          </w:tcPr>
          <w:p>
            <w:r>
              <w:rPr>
                <w:rFonts w:ascii="Calibri" w:hAnsi="Calibri"/>
                <w:sz w:val="22"/>
              </w:rPr>
              <w:t>+3.2%</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40,100</w:t>
            </w:r>
          </w:p>
        </w:tc>
        <w:tc>
          <w:tcPr>
            <w:tcW w:type="dxa" w:w="1728"/>
          </w:tcPr>
          <w:p>
            <w:r>
              <w:rPr>
                <w:rFonts w:ascii="Calibri" w:hAnsi="Calibri"/>
                <w:sz w:val="22"/>
              </w:rPr>
              <w:t>39,986</w:t>
            </w:r>
          </w:p>
        </w:tc>
        <w:tc>
          <w:tcPr>
            <w:tcW w:type="dxa" w:w="1728"/>
          </w:tcPr>
          <w:p>
            <w:r>
              <w:rPr>
                <w:rFonts w:ascii="Calibri" w:hAnsi="Calibri"/>
                <w:sz w:val="22"/>
              </w:rPr>
              <w:t>+0.3%</w:t>
            </w:r>
          </w:p>
        </w:tc>
        <w:tc>
          <w:tcPr>
            <w:tcW w:type="dxa" w:w="1728"/>
          </w:tcPr>
          <w:p>
            <w:r>
              <w:rPr>
                <w:rFonts w:ascii="Calibri" w:hAnsi="Calibri"/>
                <w:b/>
                <w:color w:val="002FA7"/>
                <w:sz w:val="22"/>
              </w:rPr>
              <w:t>Inline</w:t>
            </w:r>
          </w:p>
        </w:tc>
      </w:tr>
      <w:tr>
        <w:tc>
          <w:tcPr>
            <w:tcW w:type="dxa" w:w="1728"/>
          </w:tcPr>
          <w:p>
            <w:r>
              <w:rPr>
                <w:rFonts w:ascii="Calibri" w:hAnsi="Calibri"/>
                <w:sz w:val="22"/>
              </w:rPr>
              <w:t>Q4 2024</w:t>
            </w:r>
          </w:p>
        </w:tc>
        <w:tc>
          <w:tcPr>
            <w:tcW w:type="dxa" w:w="1728"/>
          </w:tcPr>
          <w:p>
            <w:r>
              <w:rPr>
                <w:rFonts w:ascii="Calibri" w:hAnsi="Calibri"/>
                <w:sz w:val="22"/>
              </w:rPr>
              <w:t>43,900</w:t>
            </w:r>
          </w:p>
        </w:tc>
        <w:tc>
          <w:tcPr>
            <w:tcW w:type="dxa" w:w="1728"/>
          </w:tcPr>
          <w:p>
            <w:r>
              <w:rPr>
                <w:rFonts w:ascii="Calibri" w:hAnsi="Calibri"/>
                <w:sz w:val="22"/>
              </w:rPr>
              <w:t>42,344</w:t>
            </w:r>
          </w:p>
        </w:tc>
        <w:tc>
          <w:tcPr>
            <w:tcW w:type="dxa" w:w="1728"/>
          </w:tcPr>
          <w:p>
            <w:r>
              <w:rPr>
                <w:rFonts w:ascii="Calibri" w:hAnsi="Calibri"/>
                <w:sz w:val="22"/>
              </w:rPr>
              <w:t>+3.7%</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44,900</w:t>
            </w:r>
          </w:p>
        </w:tc>
        <w:tc>
          <w:tcPr>
            <w:tcW w:type="dxa" w:w="1728"/>
          </w:tcPr>
          <w:p>
            <w:r>
              <w:rPr>
                <w:rFonts w:ascii="Calibri" w:hAnsi="Calibri"/>
                <w:sz w:val="22"/>
              </w:rPr>
              <w:t>43,429</w:t>
            </w:r>
          </w:p>
        </w:tc>
        <w:tc>
          <w:tcPr>
            <w:tcW w:type="dxa" w:w="1728"/>
          </w:tcPr>
          <w:p>
            <w:r>
              <w:rPr>
                <w:rFonts w:ascii="Calibri" w:hAnsi="Calibri"/>
                <w:sz w:val="22"/>
              </w:rPr>
              <w:t>+3.4%</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PACCAR has a strong track record of meeting or beating delivery guidance — deliveries beat or matched consensus in 6 of the last 7 reported quarters. EPS has been more volatile, with misses in Q1 and Q4 2025 as the cycle turned down, but the Q2 2025 beat (+7.2%) suggests the company can outperform when volumes are recovering. Source: Visible Alpha Consensus and Actuals Data.</w:t>
      </w:r>
    </w:p>
    <w:p>
      <w:r>
        <w:br w:type="page"/>
      </w:r>
    </w:p>
    <w:p>
      <w:pPr>
        <w:pStyle w:val="Heading2"/>
      </w:pPr>
      <w:r>
        <w:rPr>
          <w:rFonts w:ascii="Calibri" w:hAnsi="Calibri"/>
          <w:b/>
          <w:color w:val="3B4259"/>
          <w:sz w:val="28"/>
        </w:rPr>
        <w:t>Guidance &amp; Commentary Evolution</w:t>
      </w:r>
    </w:p>
    <w:p>
      <w:r>
        <w:rPr>
          <w:rFonts w:ascii="Calibri" w:hAnsi="Calibri"/>
          <w:b/>
          <w:color w:val="525866"/>
          <w:sz w:val="22"/>
        </w:rPr>
        <w:t xml:space="preserve">Key Takeaway: </w:t>
      </w:r>
      <w:r>
        <w:rPr>
          <w:rFonts w:ascii="Calibri" w:hAnsi="Calibri"/>
          <w:color w:val="525866"/>
          <w:sz w:val="22"/>
        </w:rPr>
        <w:t xml:space="preserve">Guidance has not been formally revised since the Q1 2026 earnings call — no 8-K, conference, or investor day update has changed the numbers. Management's tone, however, has shifted </w:t>
      </w:r>
      <w:r>
        <w:rPr>
          <w:rFonts w:ascii="Calibri" w:hAnsi="Calibri"/>
          <w:b/>
          <w:color w:val="525866"/>
          <w:sz w:val="22"/>
        </w:rPr>
        <w:t>decisively more constructive</w:t>
      </w:r>
      <w:r>
        <w:rPr>
          <w:rFonts w:ascii="Calibri" w:hAnsi="Calibri"/>
          <w:color w:val="525866"/>
          <w:sz w:val="22"/>
        </w:rPr>
        <w:t>: the trough is confirmed, the backlog is full, and the Section 232 tariff credit mechanism is described as "fairly well defined."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Call,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Truck Deliveries</w:t>
            </w:r>
          </w:p>
        </w:tc>
        <w:tc>
          <w:tcPr>
            <w:tcW w:type="dxa" w:w="1728"/>
          </w:tcPr>
          <w:p>
            <w:r>
              <w:rPr>
                <w:rFonts w:ascii="Calibri" w:hAnsi="Calibri"/>
                <w:sz w:val="22"/>
              </w:rPr>
              <w:t>37,000–38,000 units</w:t>
            </w:r>
          </w:p>
        </w:tc>
        <w:tc>
          <w:tcPr>
            <w:tcW w:type="dxa" w:w="1728"/>
          </w:tcPr>
          <w:p>
            <w:r>
              <w:rPr>
                <w:rFonts w:ascii="Calibri" w:hAnsi="Calibri"/>
                <w:sz w:val="22"/>
              </w:rPr>
              <w:t>—</w:t>
            </w:r>
          </w:p>
        </w:tc>
        <w:tc>
          <w:tcPr>
            <w:tcW w:type="dxa" w:w="1728"/>
          </w:tcPr>
          <w:p>
            <w:r>
              <w:rPr>
                <w:rFonts w:ascii="Calibri" w:hAnsi="Calibri"/>
                <w:sz w:val="22"/>
              </w:rPr>
              <w:t>~37,785 units</w:t>
            </w:r>
          </w:p>
        </w:tc>
        <w:tc>
          <w:tcPr>
            <w:tcW w:type="dxa" w:w="1728"/>
          </w:tcPr>
          <w:p>
            <w:r>
              <w:rPr>
                <w:rFonts w:ascii="Calibri" w:hAnsi="Calibri"/>
                <w:sz w:val="22"/>
              </w:rPr>
              <w:t>No post-earnings update; consensus inline with guidance midpoint</w:t>
            </w:r>
          </w:p>
        </w:tc>
      </w:tr>
      <w:tr>
        <w:tc>
          <w:tcPr>
            <w:tcW w:type="dxa" w:w="1728"/>
          </w:tcPr>
          <w:p>
            <w:r>
              <w:rPr>
                <w:rFonts w:ascii="Calibri" w:hAnsi="Calibri"/>
                <w:sz w:val="22"/>
              </w:rPr>
              <w:t>Q2 2026 Truck, Parts &amp; Other Gross Margin</w:t>
            </w:r>
          </w:p>
        </w:tc>
        <w:tc>
          <w:tcPr>
            <w:tcW w:type="dxa" w:w="1728"/>
          </w:tcPr>
          <w:p>
            <w:r>
              <w:rPr>
                <w:rFonts w:ascii="Calibri" w:hAnsi="Calibri"/>
                <w:sz w:val="22"/>
              </w:rPr>
              <w:t>~13.5%</w:t>
            </w:r>
          </w:p>
        </w:tc>
        <w:tc>
          <w:tcPr>
            <w:tcW w:type="dxa" w:w="1728"/>
          </w:tcPr>
          <w:p>
            <w:r>
              <w:rPr>
                <w:rFonts w:ascii="Calibri" w:hAnsi="Calibri"/>
                <w:sz w:val="22"/>
              </w:rPr>
              <w:t>—</w:t>
            </w:r>
          </w:p>
        </w:tc>
        <w:tc>
          <w:tcPr>
            <w:tcW w:type="dxa" w:w="1728"/>
          </w:tcPr>
          <w:p>
            <w:r>
              <w:rPr>
                <w:rFonts w:ascii="Calibri" w:hAnsi="Calibri"/>
                <w:sz w:val="22"/>
              </w:rPr>
              <w:t>~13.5% (implied by segment mix)</w:t>
            </w:r>
          </w:p>
        </w:tc>
        <w:tc>
          <w:tcPr>
            <w:tcW w:type="dxa" w:w="1728"/>
          </w:tcPr>
          <w:p>
            <w:r>
              <w:rPr>
                <w:rFonts w:ascii="Calibri" w:hAnsi="Calibri"/>
                <w:sz w:val="22"/>
              </w:rPr>
              <w:t>No post-earnings update; consensus tracking guidance</w:t>
            </w:r>
          </w:p>
        </w:tc>
      </w:tr>
      <w:tr>
        <w:tc>
          <w:tcPr>
            <w:tcW w:type="dxa" w:w="1728"/>
          </w:tcPr>
          <w:p>
            <w:r>
              <w:rPr>
                <w:rFonts w:ascii="Calibri" w:hAnsi="Calibri"/>
                <w:sz w:val="22"/>
              </w:rPr>
              <w:t>Q2 2026 Parts Revenue Growth</w:t>
            </w:r>
          </w:p>
        </w:tc>
        <w:tc>
          <w:tcPr>
            <w:tcW w:type="dxa" w:w="1728"/>
          </w:tcPr>
          <w:p>
            <w:r>
              <w:rPr>
                <w:rFonts w:ascii="Calibri" w:hAnsi="Calibri"/>
                <w:sz w:val="22"/>
              </w:rPr>
              <w:t>+3% QoQ</w:t>
            </w:r>
          </w:p>
        </w:tc>
        <w:tc>
          <w:tcPr>
            <w:tcW w:type="dxa" w:w="1728"/>
          </w:tcPr>
          <w:p>
            <w:r>
              <w:rPr>
                <w:rFonts w:ascii="Calibri" w:hAnsi="Calibri"/>
                <w:sz w:val="22"/>
              </w:rPr>
              <w:t>—</w:t>
            </w:r>
          </w:p>
        </w:tc>
        <w:tc>
          <w:tcPr>
            <w:tcW w:type="dxa" w:w="1728"/>
          </w:tcPr>
          <w:p>
            <w:r>
              <w:rPr>
                <w:rFonts w:ascii="Calibri" w:hAnsi="Calibri"/>
                <w:sz w:val="22"/>
              </w:rPr>
              <w:t>$1.77B (+3.5% QoQ)</w:t>
            </w:r>
          </w:p>
        </w:tc>
        <w:tc>
          <w:tcPr>
            <w:tcW w:type="dxa" w:w="1728"/>
          </w:tcPr>
          <w:p>
            <w:r>
              <w:rPr>
                <w:rFonts w:ascii="Calibri" w:hAnsi="Calibri"/>
                <w:sz w:val="22"/>
              </w:rPr>
              <w:t>Consensus slightly above guidance; acceleration expected through year</w:t>
            </w:r>
          </w:p>
        </w:tc>
      </w:tr>
      <w:tr>
        <w:tc>
          <w:tcPr>
            <w:tcW w:type="dxa" w:w="1728"/>
          </w:tcPr>
          <w:p>
            <w:r>
              <w:rPr>
                <w:rFonts w:ascii="Calibri" w:hAnsi="Calibri"/>
                <w:sz w:val="22"/>
              </w:rPr>
              <w:t>FY2026 NA Class 8 Industry Retail Sales</w:t>
            </w:r>
          </w:p>
        </w:tc>
        <w:tc>
          <w:tcPr>
            <w:tcW w:type="dxa" w:w="1728"/>
          </w:tcPr>
          <w:p>
            <w:r>
              <w:rPr>
                <w:rFonts w:ascii="Calibri" w:hAnsi="Calibri"/>
                <w:sz w:val="22"/>
              </w:rPr>
              <w:t>230,000–270,000 units</w:t>
            </w:r>
          </w:p>
        </w:tc>
        <w:tc>
          <w:tcPr>
            <w:tcW w:type="dxa" w:w="1728"/>
          </w:tcPr>
          <w:p>
            <w:r>
              <w:rPr>
                <w:rFonts w:ascii="Calibri" w:hAnsi="Calibri"/>
                <w:sz w:val="22"/>
              </w:rPr>
              <w:t>—</w:t>
            </w:r>
          </w:p>
        </w:tc>
        <w:tc>
          <w:tcPr>
            <w:tcW w:type="dxa" w:w="1728"/>
          </w:tcPr>
          <w:p>
            <w:r>
              <w:rPr>
                <w:rFonts w:ascii="Calibri" w:hAnsi="Calibri"/>
                <w:sz w:val="22"/>
              </w:rPr>
              <w:t>~263,220 units</w:t>
            </w:r>
          </w:p>
        </w:tc>
        <w:tc>
          <w:tcPr>
            <w:tcW w:type="dxa" w:w="1728"/>
          </w:tcPr>
          <w:p>
            <w:r>
              <w:rPr>
                <w:rFonts w:ascii="Calibri" w:hAnsi="Calibri"/>
                <w:sz w:val="22"/>
              </w:rPr>
              <w:t>Consensus near midpoint; Volvo maintained 265k, Traton raised NA midpoint to +5%</w:t>
            </w:r>
          </w:p>
        </w:tc>
      </w:tr>
      <w:tr>
        <w:tc>
          <w:tcPr>
            <w:tcW w:type="dxa" w:w="1728"/>
          </w:tcPr>
          <w:p>
            <w:r>
              <w:rPr>
                <w:rFonts w:ascii="Calibri" w:hAnsi="Calibri"/>
                <w:sz w:val="22"/>
              </w:rPr>
              <w:t>FY2026 Parts Revenue Growth</w:t>
            </w:r>
          </w:p>
        </w:tc>
        <w:tc>
          <w:tcPr>
            <w:tcW w:type="dxa" w:w="1728"/>
          </w:tcPr>
          <w:p>
            <w:r>
              <w:rPr>
                <w:rFonts w:ascii="Calibri" w:hAnsi="Calibri"/>
                <w:sz w:val="22"/>
              </w:rPr>
              <w:t>3%–6% YoY</w:t>
            </w:r>
          </w:p>
        </w:tc>
        <w:tc>
          <w:tcPr>
            <w:tcW w:type="dxa" w:w="1728"/>
          </w:tcPr>
          <w:p>
            <w:r>
              <w:rPr>
                <w:rFonts w:ascii="Calibri" w:hAnsi="Calibri"/>
                <w:sz w:val="22"/>
              </w:rPr>
              <w:t>—</w:t>
            </w:r>
          </w:p>
        </w:tc>
        <w:tc>
          <w:tcPr>
            <w:tcW w:type="dxa" w:w="1728"/>
          </w:tcPr>
          <w:p>
            <w:r>
              <w:rPr>
                <w:rFonts w:ascii="Calibri" w:hAnsi="Calibri"/>
                <w:sz w:val="22"/>
              </w:rPr>
              <w:t>$7.16B (~+3.5% YoY)</w:t>
            </w:r>
          </w:p>
        </w:tc>
        <w:tc>
          <w:tcPr>
            <w:tcW w:type="dxa" w:w="1728"/>
          </w:tcPr>
          <w:p>
            <w:r>
              <w:rPr>
                <w:rFonts w:ascii="Calibri" w:hAnsi="Calibri"/>
                <w:sz w:val="22"/>
              </w:rPr>
              <w:t>Consensus at low end of range; upside if fleet health improves faster</w:t>
            </w:r>
          </w:p>
        </w:tc>
      </w:tr>
      <w:tr>
        <w:tc>
          <w:tcPr>
            <w:tcW w:type="dxa" w:w="1728"/>
          </w:tcPr>
          <w:p>
            <w:r>
              <w:rPr>
                <w:rFonts w:ascii="Calibri" w:hAnsi="Calibri"/>
                <w:sz w:val="22"/>
              </w:rPr>
              <w:t>FY2026 Capex</w:t>
            </w:r>
          </w:p>
        </w:tc>
        <w:tc>
          <w:tcPr>
            <w:tcW w:type="dxa" w:w="1728"/>
          </w:tcPr>
          <w:p>
            <w:r>
              <w:rPr>
                <w:rFonts w:ascii="Calibri" w:hAnsi="Calibri"/>
                <w:sz w:val="22"/>
              </w:rPr>
              <w:t>$725M–$775M</w:t>
            </w:r>
          </w:p>
        </w:tc>
        <w:tc>
          <w:tcPr>
            <w:tcW w:type="dxa" w:w="1728"/>
          </w:tcPr>
          <w:p>
            <w:r>
              <w:rPr>
                <w:rFonts w:ascii="Calibri" w:hAnsi="Calibri"/>
                <w:sz w:val="22"/>
              </w:rPr>
              <w:t>—</w:t>
            </w:r>
          </w:p>
        </w:tc>
        <w:tc>
          <w:tcPr>
            <w:tcW w:type="dxa" w:w="1728"/>
          </w:tcPr>
          <w:p>
            <w:r>
              <w:rPr>
                <w:rFonts w:ascii="Calibri" w:hAnsi="Calibri"/>
                <w:sz w:val="22"/>
              </w:rPr>
              <w:t>N/A — not tracked in VA</w:t>
            </w:r>
          </w:p>
        </w:tc>
        <w:tc>
          <w:tcPr>
            <w:tcW w:type="dxa" w:w="1728"/>
          </w:tcPr>
          <w:p>
            <w:r>
              <w:rPr>
                <w:rFonts w:ascii="Calibri" w:hAnsi="Calibri"/>
                <w:sz w:val="22"/>
              </w:rPr>
              <w:t>No post-earnings update</w:t>
            </w:r>
          </w:p>
        </w:tc>
      </w:tr>
      <w:tr>
        <w:tc>
          <w:tcPr>
            <w:tcW w:type="dxa" w:w="1728"/>
          </w:tcPr>
          <w:p>
            <w:r>
              <w:rPr>
                <w:rFonts w:ascii="Calibri" w:hAnsi="Calibri"/>
                <w:sz w:val="22"/>
              </w:rPr>
              <w:t>FY2026 R&amp;D Expense</w:t>
            </w:r>
          </w:p>
        </w:tc>
        <w:tc>
          <w:tcPr>
            <w:tcW w:type="dxa" w:w="1728"/>
          </w:tcPr>
          <w:p>
            <w:r>
              <w:rPr>
                <w:rFonts w:ascii="Calibri" w:hAnsi="Calibri"/>
                <w:sz w:val="22"/>
              </w:rPr>
              <w:t>$450M–$500M</w:t>
            </w:r>
          </w:p>
        </w:tc>
        <w:tc>
          <w:tcPr>
            <w:tcW w:type="dxa" w:w="1728"/>
          </w:tcPr>
          <w:p>
            <w:r>
              <w:rPr>
                <w:rFonts w:ascii="Calibri" w:hAnsi="Calibri"/>
                <w:sz w:val="22"/>
              </w:rPr>
              <w:t>—</w:t>
            </w:r>
          </w:p>
        </w:tc>
        <w:tc>
          <w:tcPr>
            <w:tcW w:type="dxa" w:w="1728"/>
          </w:tcPr>
          <w:p>
            <w:r>
              <w:rPr>
                <w:rFonts w:ascii="Calibri" w:hAnsi="Calibri"/>
                <w:sz w:val="22"/>
              </w:rPr>
              <w:t>N/A — not tracked in VA</w:t>
            </w:r>
          </w:p>
        </w:tc>
        <w:tc>
          <w:tcPr>
            <w:tcW w:type="dxa" w:w="1728"/>
          </w:tcPr>
          <w:p>
            <w:r>
              <w:rPr>
                <w:rFonts w:ascii="Calibri" w:hAnsi="Calibri"/>
                <w:sz w:val="22"/>
              </w:rPr>
              <w:t>No post-earnings update</w:t>
            </w:r>
          </w:p>
        </w:tc>
      </w:tr>
    </w:tbl>
    <w:p>
      <w:r>
        <w:rPr>
          <w:rFonts w:ascii="Calibri" w:hAnsi="Calibri"/>
          <w:color w:val="525866"/>
          <w:sz w:val="22"/>
        </w:rPr>
        <w:t>No post-earnings guidance revisions have been issued since the April 28, 2026 Q1 earnings call. The absence of any pre-announcement or 8-K update is itself a mild positive signal — management has not needed to walk back the constructive Q2 outlook it provided. The key tone shift since Q1: management explicitly characterized the Section 232 tariff credit as "fairly well defined" and expects to apply for and receive credits "in the not-distant future," which could represent incremental margin upside not yet in consensus.</w:t>
      </w:r>
    </w:p>
    <w:p>
      <w:pPr>
        <w:pStyle w:val="Heading2"/>
      </w:pPr>
      <w:r>
        <w:rPr>
          <w:rFonts w:ascii="Calibri" w:hAnsi="Calibri"/>
          <w:b/>
          <w:color w:val="3B4259"/>
          <w:sz w:val="28"/>
        </w:rPr>
        <w:t>Guidance vs. Estimate Revision Tracker</w:t>
      </w:r>
    </w:p>
    <w:p>
      <w:r>
        <w:rPr>
          <w:rFonts w:ascii="Calibri" w:hAnsi="Calibri"/>
          <w:b/>
          <w:color w:val="525866"/>
          <w:sz w:val="22"/>
        </w:rPr>
        <w:t xml:space="preserve">Key Takeaway: </w:t>
      </w:r>
      <w:r>
        <w:rPr>
          <w:rFonts w:ascii="Calibri" w:hAnsi="Calibri"/>
          <w:color w:val="525866"/>
          <w:sz w:val="22"/>
        </w:rPr>
        <w:t>Estimates have been remarkably stable since the Q1 print — Q2 EPS consensus is essentially flat vs. the post-Q1 baseline, and FY2026 EPS has ticked up modestly. Estimates are tracking guidance, not diverging, which means the gap is neither a risk nor a meaningful cushion — execution against the pre-guided targets is what matters.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(May 5, 2026 — ~5 days post Q1)</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Diluted Operating EPS — Q2 2026</w:t>
            </w:r>
          </w:p>
        </w:tc>
        <w:tc>
          <w:tcPr>
            <w:tcW w:type="dxa" w:w="1080"/>
          </w:tcPr>
          <w:p>
            <w:r>
              <w:rPr>
                <w:rFonts w:ascii="Calibri" w:hAnsi="Calibri"/>
                <w:sz w:val="22"/>
              </w:rPr>
              <w:t>$1.350</w:t>
            </w:r>
          </w:p>
        </w:tc>
        <w:tc>
          <w:tcPr>
            <w:tcW w:type="dxa" w:w="1080"/>
          </w:tcPr>
          <w:p>
            <w:r>
              <w:rPr>
                <w:rFonts w:ascii="Calibri" w:hAnsi="Calibri"/>
                <w:sz w:val="22"/>
              </w:rPr>
              <w:t>$1.342</w:t>
            </w:r>
          </w:p>
        </w:tc>
        <w:tc>
          <w:tcPr>
            <w:tcW w:type="dxa" w:w="1080"/>
          </w:tcPr>
          <w:p>
            <w:r>
              <w:rPr>
                <w:rFonts w:ascii="Calibri" w:hAnsi="Calibri"/>
                <w:sz w:val="22"/>
              </w:rPr>
              <w:t>−0.6%</w:t>
            </w:r>
          </w:p>
        </w:tc>
        <w:tc>
          <w:tcPr>
            <w:tcW w:type="dxa" w:w="1080"/>
          </w:tcPr>
          <w:p>
            <w:r>
              <w:rPr>
                <w:rFonts w:ascii="Calibri" w:hAnsi="Calibri"/>
                <w:sz w:val="22"/>
              </w:rPr>
              <w:t>N/A (no explicit EPS guide)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Diluted Operating EPS — FY2026</w:t>
            </w:r>
          </w:p>
        </w:tc>
        <w:tc>
          <w:tcPr>
            <w:tcW w:type="dxa" w:w="1080"/>
          </w:tcPr>
          <w:p>
            <w:r>
              <w:rPr>
                <w:rFonts w:ascii="Calibri" w:hAnsi="Calibri"/>
                <w:sz w:val="22"/>
              </w:rPr>
              <w:t>$5.619</w:t>
            </w:r>
          </w:p>
        </w:tc>
        <w:tc>
          <w:tcPr>
            <w:tcW w:type="dxa" w:w="1080"/>
          </w:tcPr>
          <w:p>
            <w:r>
              <w:rPr>
                <w:rFonts w:ascii="Calibri" w:hAnsi="Calibri"/>
                <w:sz w:val="22"/>
              </w:rPr>
              <w:t>$5.639</w:t>
            </w:r>
          </w:p>
        </w:tc>
        <w:tc>
          <w:tcPr>
            <w:tcW w:type="dxa" w:w="1080"/>
          </w:tcPr>
          <w:p>
            <w:r>
              <w:rPr>
                <w:rFonts w:ascii="Calibri" w:hAnsi="Calibri"/>
                <w:sz w:val="22"/>
              </w:rPr>
              <w:t>+0.4%</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Q2 2026</w:t>
            </w:r>
          </w:p>
        </w:tc>
        <w:tc>
          <w:tcPr>
            <w:tcW w:type="dxa" w:w="1080"/>
          </w:tcPr>
          <w:p>
            <w:r>
              <w:rPr>
                <w:rFonts w:ascii="Calibri" w:hAnsi="Calibri"/>
                <w:sz w:val="22"/>
              </w:rPr>
              <w:t>$7.528B</w:t>
            </w:r>
          </w:p>
        </w:tc>
        <w:tc>
          <w:tcPr>
            <w:tcW w:type="dxa" w:w="1080"/>
          </w:tcPr>
          <w:p>
            <w:r>
              <w:rPr>
                <w:rFonts w:ascii="Calibri" w:hAnsi="Calibri"/>
                <w:sz w:val="22"/>
              </w:rPr>
              <w:t>$7.559B</w:t>
            </w:r>
          </w:p>
        </w:tc>
        <w:tc>
          <w:tcPr>
            <w:tcW w:type="dxa" w:w="1080"/>
          </w:tcPr>
          <w:p>
            <w:r>
              <w:rPr>
                <w:rFonts w:ascii="Calibri" w:hAnsi="Calibri"/>
                <w:sz w:val="22"/>
              </w:rPr>
              <w:t>+0.4%</w:t>
            </w:r>
          </w:p>
        </w:tc>
        <w:tc>
          <w:tcPr>
            <w:tcW w:type="dxa" w:w="1080"/>
          </w:tcPr>
          <w:p>
            <w:r>
              <w:rPr>
                <w:rFonts w:ascii="Calibri" w:hAnsi="Calibri"/>
                <w:sz w:val="22"/>
              </w:rPr>
              <w:t>Implied by delivery guide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~Inline</w:t>
            </w:r>
          </w:p>
        </w:tc>
      </w:tr>
      <w:tr>
        <w:tc>
          <w:tcPr>
            <w:tcW w:type="dxa" w:w="1080"/>
          </w:tcPr>
          <w:p>
            <w:r>
              <w:rPr>
                <w:rFonts w:ascii="Calibri" w:hAnsi="Calibri"/>
                <w:sz w:val="22"/>
              </w:rPr>
              <w:t>Total Revenue — FY2026</w:t>
            </w:r>
          </w:p>
        </w:tc>
        <w:tc>
          <w:tcPr>
            <w:tcW w:type="dxa" w:w="1080"/>
          </w:tcPr>
          <w:p>
            <w:r>
              <w:rPr>
                <w:rFonts w:ascii="Calibri" w:hAnsi="Calibri"/>
                <w:sz w:val="22"/>
              </w:rPr>
              <w:t>$30.326B</w:t>
            </w:r>
          </w:p>
        </w:tc>
        <w:tc>
          <w:tcPr>
            <w:tcW w:type="dxa" w:w="1080"/>
          </w:tcPr>
          <w:p>
            <w:r>
              <w:rPr>
                <w:rFonts w:ascii="Calibri" w:hAnsi="Calibri"/>
                <w:sz w:val="22"/>
              </w:rPr>
              <w:t>$30.481B</w:t>
            </w:r>
          </w:p>
        </w:tc>
        <w:tc>
          <w:tcPr>
            <w:tcW w:type="dxa" w:w="1080"/>
          </w:tcPr>
          <w:p>
            <w:r>
              <w:rPr>
                <w:rFonts w:ascii="Calibri" w:hAnsi="Calibri"/>
                <w:sz w:val="22"/>
              </w:rPr>
              <w:t>+0.5%</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Truck Deliveries — Q2 2026 (#)</w:t>
            </w:r>
          </w:p>
        </w:tc>
        <w:tc>
          <w:tcPr>
            <w:tcW w:type="dxa" w:w="1080"/>
          </w:tcPr>
          <w:p>
            <w:r>
              <w:rPr>
                <w:rFonts w:ascii="Calibri" w:hAnsi="Calibri"/>
                <w:sz w:val="22"/>
              </w:rPr>
              <w:t>37,665</w:t>
            </w:r>
          </w:p>
        </w:tc>
        <w:tc>
          <w:tcPr>
            <w:tcW w:type="dxa" w:w="1080"/>
          </w:tcPr>
          <w:p>
            <w:r>
              <w:rPr>
                <w:rFonts w:ascii="Calibri" w:hAnsi="Calibri"/>
                <w:sz w:val="22"/>
              </w:rPr>
              <w:t>37,785</w:t>
            </w:r>
          </w:p>
        </w:tc>
        <w:tc>
          <w:tcPr>
            <w:tcW w:type="dxa" w:w="1080"/>
          </w:tcPr>
          <w:p>
            <w:r>
              <w:rPr>
                <w:rFonts w:ascii="Calibri" w:hAnsi="Calibri"/>
                <w:sz w:val="22"/>
              </w:rPr>
              <w:t>+0.3%</w:t>
            </w:r>
          </w:p>
        </w:tc>
        <w:tc>
          <w:tcPr>
            <w:tcW w:type="dxa" w:w="1080"/>
          </w:tcPr>
          <w:p>
            <w:r>
              <w:rPr>
                <w:rFonts w:ascii="Calibri" w:hAnsi="Calibri"/>
                <w:sz w:val="22"/>
              </w:rPr>
              <w:t>37,000–38,000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+0.5% above midpoint</w:t>
            </w:r>
          </w:p>
        </w:tc>
      </w:tr>
      <w:tr>
        <w:tc>
          <w:tcPr>
            <w:tcW w:type="dxa" w:w="1080"/>
          </w:tcPr>
          <w:p>
            <w:r>
              <w:rPr>
                <w:rFonts w:ascii="Calibri" w:hAnsi="Calibri"/>
                <w:sz w:val="22"/>
              </w:rPr>
              <w:t>Parts Revenue — Q2 2026</w:t>
            </w:r>
          </w:p>
        </w:tc>
        <w:tc>
          <w:tcPr>
            <w:tcW w:type="dxa" w:w="1080"/>
          </w:tcPr>
          <w:p>
            <w:r>
              <w:rPr>
                <w:rFonts w:ascii="Calibri" w:hAnsi="Calibri"/>
                <w:sz w:val="22"/>
              </w:rPr>
              <w:t>$1.774B</w:t>
            </w:r>
          </w:p>
        </w:tc>
        <w:tc>
          <w:tcPr>
            <w:tcW w:type="dxa" w:w="1080"/>
          </w:tcPr>
          <w:p>
            <w:r>
              <w:rPr>
                <w:rFonts w:ascii="Calibri" w:hAnsi="Calibri"/>
                <w:sz w:val="22"/>
              </w:rPr>
              <w:t>$1.771B</w:t>
            </w:r>
          </w:p>
        </w:tc>
        <w:tc>
          <w:tcPr>
            <w:tcW w:type="dxa" w:w="1080"/>
          </w:tcPr>
          <w:p>
            <w:r>
              <w:rPr>
                <w:rFonts w:ascii="Calibri" w:hAnsi="Calibri"/>
                <w:sz w:val="22"/>
              </w:rPr>
              <w:t>−0.2%</w:t>
            </w:r>
          </w:p>
        </w:tc>
        <w:tc>
          <w:tcPr>
            <w:tcW w:type="dxa" w:w="1080"/>
          </w:tcPr>
          <w:p>
            <w:r>
              <w:rPr>
                <w:rFonts w:ascii="Calibri" w:hAnsi="Calibri"/>
                <w:sz w:val="22"/>
              </w:rPr>
              <w:t>+3% QoQ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+3.6% QoQ vs. +3% guide</w:t>
            </w:r>
          </w:p>
        </w:tc>
      </w:tr>
    </w:tbl>
    <w:p>
      <w:r>
        <w:rPr>
          <w:rFonts w:ascii="Calibri" w:hAnsi="Calibri"/>
          <w:color w:val="525866"/>
          <w:sz w:val="22"/>
        </w:rPr>
        <w:t>Estimates have barely moved since the Q1 print — the largest revision is +0.5% on FY2026 revenue — confirming that the Street is anchored to management's pre-guided targets rather than independently modeling upside. The risk is asymmetric: a delivery or margin miss vs. the guided range would be a negative surprise, while beating the guided range (particularly on truck gross margin) would be the primary upside catalyst. Source: Visible Alpha Consensus and Actuals Data.</w:t>
      </w:r>
    </w:p>
    <w:p>
      <w:r>
        <w:br w:type="page"/>
      </w:r>
    </w:p>
    <w:p>
      <w:pPr>
        <w:pStyle w:val="Heading2"/>
      </w:pPr>
      <w:r>
        <w:rPr>
          <w:rFonts w:ascii="Calibri" w:hAnsi="Calibri"/>
          <w:b/>
          <w:color w:val="3B4259"/>
          <w:sz w:val="28"/>
        </w:rPr>
        <w:t>Stock Performance</w:t>
      </w:r>
    </w:p>
    <w:p>
      <w:r>
        <w:rPr>
          <w:rFonts w:ascii="Calibri" w:hAnsi="Calibri"/>
          <w:b/>
          <w:color w:val="525866"/>
          <w:sz w:val="22"/>
        </w:rPr>
        <w:t xml:space="preserve">Key Takeaway: </w:t>
      </w:r>
      <w:r>
        <w:rPr>
          <w:rFonts w:ascii="Calibri" w:hAnsi="Calibri"/>
          <w:color w:val="525866"/>
          <w:sz w:val="22"/>
        </w:rPr>
        <w:t xml:space="preserve">PCAR is up ~11.6% since the Q1 2026 earnings date (April 28), outperforming IYT (+7.8%) and SPY (+3.8%). The 1-month EV/EBITDA multiple expanded ~13% while estimates barely moved, confirming the rally is </w:t>
      </w:r>
      <w:r>
        <w:rPr>
          <w:rFonts w:ascii="Calibri" w:hAnsi="Calibri"/>
          <w:b/>
          <w:color w:val="525866"/>
          <w:sz w:val="22"/>
        </w:rPr>
        <w:t>multiple-driven</w:t>
      </w:r>
      <w:r>
        <w:rPr>
          <w:rFonts w:ascii="Calibri" w:hAnsi="Calibri"/>
          <w:color w:val="525866"/>
          <w:sz w:val="22"/>
        </w:rPr>
        <w:t xml:space="preserve"> — the market is pricing in the recovery thesis, not just the current quarter.</w:t>
      </w:r>
    </w:p>
    <w:p>
      <w:r>
        <w:rPr>
          <w:rFonts w:ascii="Calibri" w:hAnsi="Calibri"/>
          <w:color w:val="525866"/>
          <w:sz w:val="22"/>
        </w:rPr>
        <w:t>Since the Q1 2026 earnings date (April 28, 2026), PCAR has risen from $119.61 to $133.44 (+11.6%), outperforming the iShares Transportation Average ETF (IYT: +7.8%, from $80.89 to $87.18) and the S&amp;P 500 (SPY: +3.8%, from $711.69 to $739.09). The outperformance is concentrated in the most recent 30 days, with PCAR gaining ~9.7% in the past month vs. IYT flat and SPY +3.5%. The 12-month stock performance decomposition shows that the 31.6% gain over the past year was split between ~17.9% from P/E multiple expansion and the remainder from earnings growth, confirming that sentiment and re-rating have been the primary drivers. At the current NTM P/E of ~21.3x and EV/EBITDA of ~14.5x, PCAR is trading above its historical trough multiples, implying the market has already priced in a meaningful recovery. The stock needs to see continued margin expansion and H2 delivery ramp confirmation to justify further multiple expansion from here. Source: Stock Price Data (Yahoo Finance); Stock Performance Decomposition.</w:t>
      </w:r>
    </w:p>
    <w:p>
      <w:r>
        <w:rPr>
          <w:i/>
        </w:rPr>
        <w:t>[Image not found: gs://lumosity-chat-storage/conversations/0196e5e5-e0e5-7e5e-b5e5-e5e5e5e5e5e5/plotly_charts/pcar_stock_performance.json]</w:t>
      </w:r>
    </w:p>
    <w:p>
      <w:pPr>
        <w:jc w:val="center"/>
      </w:pPr>
      <w:r>
        <w:rPr>
          <w:i/>
          <w:color w:val="666666"/>
          <w:sz w:val="18"/>
        </w:rPr>
        <w:t>PCAR vs. IYT vs. SPY — Indexed to 100 at April 28, 2026 (Q1 2026 Earnings Date). Note: Chart generated from Yahoo Finance close price data. IYT = iShares Transportation Average ETF (best-fit sector proxy for PCAR’s heavy-duty truck sub-sector).</w:t>
      </w:r>
    </w:p>
    <w:p>
      <w:pPr>
        <w:pStyle w:val="Heading3"/>
      </w:pPr>
      <w:r>
        <w:rPr>
          <w:rFonts w:ascii="Calibri" w:hAnsi="Calibri"/>
          <w:b/>
          <w:color w:val="3B4259"/>
          <w:sz w:val="24"/>
        </w:rPr>
        <w:t>Indexed Price Performance Since Q1 2026 Earnings (April 28, 2026 = 100)</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PCAR (Indexed)</w:t>
            </w:r>
          </w:p>
        </w:tc>
        <w:tc>
          <w:tcPr>
            <w:tcW w:type="dxa" w:w="2160"/>
            <w:shd w:val="clear" w:color="auto" w:fill="3B4259"/>
          </w:tcPr>
          <w:p>
            <w:r>
              <w:rPr>
                <w:rFonts w:ascii="Calibri" w:hAnsi="Calibri"/>
                <w:b/>
                <w:color w:val="FFFFFF"/>
                <w:sz w:val="22"/>
              </w:rPr>
              <w:t>IYT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28, 2026 (Earnings Date)</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8, 2026</w:t>
            </w:r>
          </w:p>
        </w:tc>
        <w:tc>
          <w:tcPr>
            <w:tcW w:type="dxa" w:w="2160"/>
          </w:tcPr>
          <w:p>
            <w:r>
              <w:rPr>
                <w:rFonts w:ascii="Calibri" w:hAnsi="Calibri"/>
                <w:sz w:val="22"/>
              </w:rPr>
              <w:t>95.6</w:t>
            </w:r>
          </w:p>
        </w:tc>
        <w:tc>
          <w:tcPr>
            <w:tcW w:type="dxa" w:w="2160"/>
          </w:tcPr>
          <w:p>
            <w:r>
              <w:rPr>
                <w:rFonts w:ascii="Calibri" w:hAnsi="Calibri"/>
                <w:sz w:val="22"/>
              </w:rPr>
              <w:t>99.9</w:t>
            </w:r>
          </w:p>
        </w:tc>
        <w:tc>
          <w:tcPr>
            <w:tcW w:type="dxa" w:w="2160"/>
          </w:tcPr>
          <w:p>
            <w:r>
              <w:rPr>
                <w:rFonts w:ascii="Calibri" w:hAnsi="Calibri"/>
                <w:sz w:val="22"/>
              </w:rPr>
              <w:t>103.6</w:t>
            </w:r>
          </w:p>
        </w:tc>
      </w:tr>
      <w:tr>
        <w:tc>
          <w:tcPr>
            <w:tcW w:type="dxa" w:w="2160"/>
          </w:tcPr>
          <w:p>
            <w:r>
              <w:rPr>
                <w:rFonts w:ascii="Calibri" w:hAnsi="Calibri"/>
                <w:sz w:val="22"/>
              </w:rPr>
              <w:t>May 22, 2026</w:t>
            </w:r>
          </w:p>
        </w:tc>
        <w:tc>
          <w:tcPr>
            <w:tcW w:type="dxa" w:w="2160"/>
          </w:tcPr>
          <w:p>
            <w:r>
              <w:rPr>
                <w:rFonts w:ascii="Calibri" w:hAnsi="Calibri"/>
                <w:sz w:val="22"/>
              </w:rPr>
              <w:t>91.4</w:t>
            </w:r>
          </w:p>
        </w:tc>
        <w:tc>
          <w:tcPr>
            <w:tcW w:type="dxa" w:w="2160"/>
          </w:tcPr>
          <w:p>
            <w:r>
              <w:rPr>
                <w:rFonts w:ascii="Calibri" w:hAnsi="Calibri"/>
                <w:sz w:val="22"/>
              </w:rPr>
              <w:t>100.7</w:t>
            </w:r>
          </w:p>
        </w:tc>
        <w:tc>
          <w:tcPr>
            <w:tcW w:type="dxa" w:w="2160"/>
          </w:tcPr>
          <w:p>
            <w:r>
              <w:rPr>
                <w:rFonts w:ascii="Calibri" w:hAnsi="Calibri"/>
                <w:sz w:val="22"/>
              </w:rPr>
              <w:t>104.8</w:t>
            </w:r>
          </w:p>
        </w:tc>
      </w:tr>
      <w:tr>
        <w:tc>
          <w:tcPr>
            <w:tcW w:type="dxa" w:w="2160"/>
          </w:tcPr>
          <w:p>
            <w:r>
              <w:rPr>
                <w:rFonts w:ascii="Calibri" w:hAnsi="Calibri"/>
                <w:sz w:val="22"/>
              </w:rPr>
              <w:t>Jun 5, 2026</w:t>
            </w:r>
          </w:p>
        </w:tc>
        <w:tc>
          <w:tcPr>
            <w:tcW w:type="dxa" w:w="2160"/>
          </w:tcPr>
          <w:p>
            <w:r>
              <w:rPr>
                <w:rFonts w:ascii="Calibri" w:hAnsi="Calibri"/>
                <w:sz w:val="22"/>
              </w:rPr>
              <w:t>97.6</w:t>
            </w:r>
          </w:p>
        </w:tc>
        <w:tc>
          <w:tcPr>
            <w:tcW w:type="dxa" w:w="2160"/>
          </w:tcPr>
          <w:p>
            <w:r>
              <w:rPr>
                <w:rFonts w:ascii="Calibri" w:hAnsi="Calibri"/>
                <w:sz w:val="22"/>
              </w:rPr>
              <w:t>104.6</w:t>
            </w:r>
          </w:p>
        </w:tc>
        <w:tc>
          <w:tcPr>
            <w:tcW w:type="dxa" w:w="2160"/>
          </w:tcPr>
          <w:p>
            <w:r>
              <w:rPr>
                <w:rFonts w:ascii="Calibri" w:hAnsi="Calibri"/>
                <w:sz w:val="22"/>
              </w:rPr>
              <w:t>103.6</w:t>
            </w:r>
          </w:p>
        </w:tc>
      </w:tr>
      <w:tr>
        <w:tc>
          <w:tcPr>
            <w:tcW w:type="dxa" w:w="2160"/>
          </w:tcPr>
          <w:p>
            <w:r>
              <w:rPr>
                <w:rFonts w:ascii="Calibri" w:hAnsi="Calibri"/>
                <w:sz w:val="22"/>
              </w:rPr>
              <w:t>Jun 16, 2026</w:t>
            </w:r>
          </w:p>
        </w:tc>
        <w:tc>
          <w:tcPr>
            <w:tcW w:type="dxa" w:w="2160"/>
          </w:tcPr>
          <w:p>
            <w:r>
              <w:rPr>
                <w:rFonts w:ascii="Calibri" w:hAnsi="Calibri"/>
                <w:sz w:val="22"/>
              </w:rPr>
              <w:t>101.2</w:t>
            </w:r>
          </w:p>
        </w:tc>
        <w:tc>
          <w:tcPr>
            <w:tcW w:type="dxa" w:w="2160"/>
          </w:tcPr>
          <w:p>
            <w:r>
              <w:rPr>
                <w:rFonts w:ascii="Calibri" w:hAnsi="Calibri"/>
                <w:sz w:val="22"/>
              </w:rPr>
              <w:t>106.4</w:t>
            </w:r>
          </w:p>
        </w:tc>
        <w:tc>
          <w:tcPr>
            <w:tcW w:type="dxa" w:w="2160"/>
          </w:tcPr>
          <w:p>
            <w:r>
              <w:rPr>
                <w:rFonts w:ascii="Calibri" w:hAnsi="Calibri"/>
                <w:sz w:val="22"/>
              </w:rPr>
              <w:t>105.4</w:t>
            </w:r>
          </w:p>
        </w:tc>
      </w:tr>
      <w:tr>
        <w:tc>
          <w:tcPr>
            <w:tcW w:type="dxa" w:w="2160"/>
          </w:tcPr>
          <w:p>
            <w:r>
              <w:rPr>
                <w:rFonts w:ascii="Calibri" w:hAnsi="Calibri"/>
                <w:sz w:val="22"/>
              </w:rPr>
              <w:t>Jun 30, 2026</w:t>
            </w:r>
          </w:p>
        </w:tc>
        <w:tc>
          <w:tcPr>
            <w:tcW w:type="dxa" w:w="2160"/>
          </w:tcPr>
          <w:p>
            <w:r>
              <w:rPr>
                <w:rFonts w:ascii="Calibri" w:hAnsi="Calibri"/>
                <w:sz w:val="22"/>
              </w:rPr>
              <w:t>100.4</w:t>
            </w:r>
          </w:p>
        </w:tc>
        <w:tc>
          <w:tcPr>
            <w:tcW w:type="dxa" w:w="2160"/>
          </w:tcPr>
          <w:p>
            <w:r>
              <w:rPr>
                <w:rFonts w:ascii="Calibri" w:hAnsi="Calibri"/>
                <w:sz w:val="22"/>
              </w:rPr>
              <w:t>107.2</w:t>
            </w:r>
          </w:p>
        </w:tc>
        <w:tc>
          <w:tcPr>
            <w:tcW w:type="dxa" w:w="2160"/>
          </w:tcPr>
          <w:p>
            <w:r>
              <w:rPr>
                <w:rFonts w:ascii="Calibri" w:hAnsi="Calibri"/>
                <w:sz w:val="22"/>
              </w:rPr>
              <w:t>104.9</w:t>
            </w:r>
          </w:p>
        </w:tc>
      </w:tr>
      <w:tr>
        <w:tc>
          <w:tcPr>
            <w:tcW w:type="dxa" w:w="2160"/>
          </w:tcPr>
          <w:p>
            <w:r>
              <w:rPr>
                <w:rFonts w:ascii="Calibri" w:hAnsi="Calibri"/>
                <w:sz w:val="22"/>
              </w:rPr>
              <w:t>Jul 10, 2026</w:t>
            </w:r>
          </w:p>
        </w:tc>
        <w:tc>
          <w:tcPr>
            <w:tcW w:type="dxa" w:w="2160"/>
          </w:tcPr>
          <w:p>
            <w:r>
              <w:rPr>
                <w:rFonts w:ascii="Calibri" w:hAnsi="Calibri"/>
                <w:sz w:val="22"/>
              </w:rPr>
              <w:t>104.1</w:t>
            </w:r>
          </w:p>
        </w:tc>
        <w:tc>
          <w:tcPr>
            <w:tcW w:type="dxa" w:w="2160"/>
          </w:tcPr>
          <w:p>
            <w:r>
              <w:rPr>
                <w:rFonts w:ascii="Calibri" w:hAnsi="Calibri"/>
                <w:sz w:val="22"/>
              </w:rPr>
              <w:t>108.9</w:t>
            </w:r>
          </w:p>
        </w:tc>
        <w:tc>
          <w:tcPr>
            <w:tcW w:type="dxa" w:w="2160"/>
          </w:tcPr>
          <w:p>
            <w:r>
              <w:rPr>
                <w:rFonts w:ascii="Calibri" w:hAnsi="Calibri"/>
                <w:sz w:val="22"/>
              </w:rPr>
              <w:t>106.1</w:t>
            </w:r>
          </w:p>
        </w:tc>
      </w:tr>
      <w:tr>
        <w:tc>
          <w:tcPr>
            <w:tcW w:type="dxa" w:w="2160"/>
          </w:tcPr>
          <w:p>
            <w:r>
              <w:rPr>
                <w:rFonts w:ascii="Calibri" w:hAnsi="Calibri"/>
                <w:sz w:val="22"/>
              </w:rPr>
              <w:t>Jul 22, 2026</w:t>
            </w:r>
          </w:p>
        </w:tc>
        <w:tc>
          <w:tcPr>
            <w:tcW w:type="dxa" w:w="2160"/>
          </w:tcPr>
          <w:p>
            <w:r>
              <w:rPr>
                <w:rFonts w:ascii="Calibri" w:hAnsi="Calibri"/>
                <w:sz w:val="22"/>
              </w:rPr>
              <w:t>109.6</w:t>
            </w:r>
          </w:p>
        </w:tc>
        <w:tc>
          <w:tcPr>
            <w:tcW w:type="dxa" w:w="2160"/>
          </w:tcPr>
          <w:p>
            <w:r>
              <w:rPr>
                <w:rFonts w:ascii="Calibri" w:hAnsi="Calibri"/>
                <w:sz w:val="22"/>
              </w:rPr>
              <w:t>108.7</w:t>
            </w:r>
          </w:p>
        </w:tc>
        <w:tc>
          <w:tcPr>
            <w:tcW w:type="dxa" w:w="2160"/>
          </w:tcPr>
          <w:p>
            <w:r>
              <w:rPr>
                <w:rFonts w:ascii="Calibri" w:hAnsi="Calibri"/>
                <w:sz w:val="22"/>
              </w:rPr>
              <w:t>105.0</w:t>
            </w:r>
          </w:p>
        </w:tc>
      </w:tr>
      <w:tr>
        <w:tc>
          <w:tcPr>
            <w:tcW w:type="dxa" w:w="2160"/>
          </w:tcPr>
          <w:p>
            <w:r>
              <w:rPr>
                <w:rFonts w:ascii="Calibri" w:hAnsi="Calibri"/>
                <w:sz w:val="22"/>
              </w:rPr>
              <w:t>Jul 28, 2026 (Latest)</w:t>
            </w:r>
          </w:p>
        </w:tc>
        <w:tc>
          <w:tcPr>
            <w:tcW w:type="dxa" w:w="2160"/>
          </w:tcPr>
          <w:p>
            <w:r>
              <w:rPr>
                <w:rFonts w:ascii="Calibri" w:hAnsi="Calibri"/>
                <w:b/>
                <w:sz w:val="22"/>
              </w:rPr>
              <w:t>111.6</w:t>
            </w:r>
          </w:p>
        </w:tc>
        <w:tc>
          <w:tcPr>
            <w:tcW w:type="dxa" w:w="2160"/>
          </w:tcPr>
          <w:p>
            <w:r>
              <w:rPr>
                <w:rFonts w:ascii="Calibri" w:hAnsi="Calibri"/>
                <w:b/>
                <w:sz w:val="22"/>
              </w:rPr>
              <w:t>107.8</w:t>
            </w:r>
          </w:p>
        </w:tc>
        <w:tc>
          <w:tcPr>
            <w:tcW w:type="dxa" w:w="2160"/>
          </w:tcPr>
          <w:p>
            <w:r>
              <w:rPr>
                <w:rFonts w:ascii="Calibri" w:hAnsi="Calibri"/>
                <w:b/>
                <w:sz w:val="22"/>
              </w:rPr>
              <w:t>103.8</w:t>
            </w:r>
          </w:p>
        </w:tc>
      </w:tr>
    </w:tbl>
    <w:p>
      <w:r>
        <w:rPr>
          <w:rFonts w:ascii="Calibri" w:hAnsi="Calibri"/>
          <w:b/>
          <w:color w:val="525866"/>
          <w:sz w:val="22"/>
        </w:rPr>
        <w:t xml:space="preserve">Note: </w:t>
      </w:r>
      <w:r>
        <w:rPr>
          <w:rFonts w:ascii="Calibri" w:hAnsi="Calibri"/>
          <w:color w:val="525866"/>
          <w:sz w:val="22"/>
        </w:rPr>
        <w:t>Indexed to 100 at April 28, 2026 close. IYT = iShares Transportation Average ETF (sector proxy). Source: Stock Price Data (Yahoo Finance). PCAR's underperformance vs. IYT in May reflected the broader transportation sector rally while PCAR digested the Q1 print; the sharp catch-up in late July reflects the Daimler Truck guidance raise and Traton/Volvo read-throughs confirming the NA truck cycle recovery.</w:t>
      </w:r>
    </w:p>
    <w:p>
      <w:r>
        <w:br w:type="page"/>
      </w:r>
    </w:p>
    <w:p>
      <w:pPr>
        <w:pStyle w:val="Heading2"/>
      </w:pPr>
      <w:r>
        <w:rPr>
          <w:rFonts w:ascii="Calibri" w:hAnsi="Calibri"/>
          <w:b/>
          <w:color w:val="3B4259"/>
          <w:sz w:val="28"/>
        </w:rPr>
        <w:t>Peer Commentary &amp; Current-Quarter Read-Through</w:t>
      </w:r>
    </w:p>
    <w:p>
      <w:r>
        <w:rPr>
          <w:rFonts w:ascii="Calibri" w:hAnsi="Calibri"/>
          <w:b/>
          <w:color w:val="525866"/>
          <w:sz w:val="22"/>
        </w:rPr>
        <w:t xml:space="preserve">Key Takeaway: </w:t>
      </w:r>
      <w:r>
        <w:rPr>
          <w:rFonts w:ascii="Calibri" w:hAnsi="Calibri"/>
          <w:color w:val="525866"/>
          <w:sz w:val="22"/>
        </w:rPr>
        <w:t xml:space="preserve">Three direct peers — Traton, Daimler Truck, and Volvo Group — all reported Q2 2026 results in the last 60 days and collectively confirm a </w:t>
      </w:r>
      <w:r>
        <w:rPr>
          <w:rFonts w:ascii="Calibri" w:hAnsi="Calibri"/>
          <w:b/>
          <w:color w:val="525866"/>
          <w:sz w:val="22"/>
        </w:rPr>
        <w:t>strong North American heavy-duty truck demand recovery</w:t>
      </w:r>
      <w:r>
        <w:rPr>
          <w:rFonts w:ascii="Calibri" w:hAnsi="Calibri"/>
          <w:color w:val="525866"/>
          <w:sz w:val="22"/>
        </w:rPr>
        <w:t>, driven by improving fleet economics, strong freight rates, and EPA 2027 pre-buy activity. The read-through is broadly positive for PCAR's Q2 print, though Traton's caution on underlying US transport volumes and the delivery lag vs. orders are important caveats.</w:t>
      </w:r>
    </w:p>
    <w:p>
      <w:pPr>
        <w:pStyle w:val="Heading3"/>
      </w:pPr>
      <w:r>
        <w:rPr>
          <w:rFonts w:ascii="Calibri" w:hAnsi="Calibri"/>
          <w:b/>
          <w:color w:val="3B4259"/>
          <w:sz w:val="24"/>
        </w:rPr>
        <w:t>1. TRATON SE (International Motors / Scania / VW Truck &amp; Bus) — Q2 2026 Earnings Call, July 23, 2026</w:t>
      </w:r>
    </w:p>
    <w:p>
      <w:r>
        <w:rPr>
          <w:rFonts w:ascii="Calibri" w:hAnsi="Calibri"/>
          <w:b/>
          <w:color w:val="525866"/>
          <w:sz w:val="22"/>
        </w:rPr>
        <w:t xml:space="preserve">Read-Through Type: </w:t>
      </w:r>
      <w:r>
        <w:rPr>
          <w:rFonts w:ascii="Calibri" w:hAnsi="Calibri"/>
          <w:color w:val="525866"/>
          <w:sz w:val="22"/>
        </w:rPr>
        <w:t>Direct — International Motors competes head-to-head with Kenworth and Peterbilt in the North American Class 8 market.</w:t>
      </w:r>
    </w:p>
    <w:p>
      <w:pPr>
        <w:pStyle w:val="ListBullet"/>
        <w:ind w:left="360" w:hanging="360"/>
      </w:pPr>
      <w:r>
        <w:rPr>
          <w:rFonts w:ascii="Calibri" w:hAnsi="Calibri"/>
          <w:b/>
          <w:color w:val="525866"/>
          <w:sz w:val="22"/>
        </w:rPr>
        <w:t xml:space="preserve">North American Class 8 demand confirmed strong: </w:t>
      </w:r>
      <w:r>
        <w:rPr>
          <w:rFonts w:ascii="Calibri" w:hAnsi="Calibri"/>
          <w:color w:val="525866"/>
          <w:sz w:val="22"/>
        </w:rPr>
        <w:t>Traton's North American truck order intake "almost tripled to 22,700 trucks" in Q2, with International Motors accounting for the vast majority of the increase. The company cited "improving U.S. fleet economics, strong freight rates, and some EPA 2027 pre-buy activity" as the drivers. The book-to-bill ratio reached 1.2 in Q2, and Traton stated its 2026 production is "basically already sold out."</w:t>
      </w:r>
    </w:p>
    <w:p>
      <w:pPr>
        <w:pStyle w:val="ListBullet"/>
        <w:ind w:left="360" w:hanging="360"/>
      </w:pPr>
      <w:r>
        <w:rPr>
          <w:rFonts w:ascii="Calibri" w:hAnsi="Calibri"/>
          <w:b/>
          <w:color w:val="525866"/>
          <w:sz w:val="22"/>
        </w:rPr>
        <w:t xml:space="preserve">NA market outlook raised: </w:t>
      </w:r>
      <w:r>
        <w:rPr>
          <w:rFonts w:ascii="Calibri" w:hAnsi="Calibri"/>
          <w:color w:val="525866"/>
          <w:sz w:val="22"/>
        </w:rPr>
        <w:t>Traton narrowed its North American market outlook toward the upper end, lifting the expected midpoint to +5% growth (from +2.5% previously). For Class 8 specifically, Traton sees potential growth of 9%, equating to ~282,000 trucks — above PACCAR's own FY2026 guidance range midpoint of 250,000 units.</w:t>
      </w:r>
    </w:p>
    <w:p>
      <w:pPr>
        <w:pStyle w:val="ListBullet"/>
        <w:ind w:left="360" w:hanging="360"/>
      </w:pPr>
      <w:r>
        <w:rPr>
          <w:rFonts w:ascii="Calibri" w:hAnsi="Calibri"/>
          <w:b/>
          <w:color w:val="525866"/>
          <w:sz w:val="22"/>
        </w:rPr>
        <w:t xml:space="preserve">Deliveries lagging orders (temporary): </w:t>
      </w:r>
      <w:r>
        <w:rPr>
          <w:rFonts w:ascii="Calibri" w:hAnsi="Calibri"/>
          <w:color w:val="525866"/>
          <w:sz w:val="22"/>
        </w:rPr>
        <w:t>Despite the order surge, International's unit sales declined 9% in Q2 and revenue fell 7% as "the recent order recovery has not yet fully translated into unit sales." Traton expects deliveries to "pick up in the second half." This is a key read-through: PACCAR guided 37–38k Q2 deliveries (vs. 33.1k in Q1), suggesting PCAR is further along in converting orders to deliveries than International.</w:t>
      </w:r>
    </w:p>
    <w:p>
      <w:pPr>
        <w:pStyle w:val="ListBullet"/>
        <w:ind w:left="360" w:hanging="360"/>
      </w:pPr>
      <w:r>
        <w:rPr>
          <w:rFonts w:ascii="Calibri" w:hAnsi="Calibri"/>
          <w:b/>
          <w:color w:val="525866"/>
          <w:sz w:val="22"/>
        </w:rPr>
        <w:t xml:space="preserve">Pricing optionality emerging: </w:t>
      </w:r>
      <w:r>
        <w:rPr>
          <w:rFonts w:ascii="Calibri" w:hAnsi="Calibri"/>
          <w:color w:val="525866"/>
          <w:sz w:val="22"/>
        </w:rPr>
        <w:t>Traton's CFO noted that "if the good order intake momentum continues, then typically there might be pricing optionality in the second half of the year" — a positive signal for PACCAR's margin trajectory.</w:t>
      </w:r>
    </w:p>
    <w:p>
      <w:pPr>
        <w:pStyle w:val="ListBullet"/>
        <w:ind w:left="360" w:hanging="360"/>
      </w:pPr>
      <w:r>
        <w:rPr>
          <w:rFonts w:ascii="Calibri" w:hAnsi="Calibri"/>
          <w:b/>
          <w:color w:val="525866"/>
          <w:sz w:val="22"/>
        </w:rPr>
        <w:t xml:space="preserve">EPA 2027 pre-buy confirmed: </w:t>
      </w:r>
      <w:r>
        <w:rPr>
          <w:rFonts w:ascii="Calibri" w:hAnsi="Calibri"/>
          <w:color w:val="525866"/>
          <w:sz w:val="22"/>
        </w:rPr>
        <w:t>Traton explicitly cited EPA 2027 pre-buy as a demand driver and confirmed the regulation does not change its positioning. Traton is already starting discussions with customers for 2027 orders.</w:t>
      </w:r>
    </w:p>
    <w:p>
      <w:r>
        <w:rPr>
          <w:rFonts w:ascii="Calibri" w:hAnsi="Calibri"/>
          <w:b/>
          <w:color w:val="525866"/>
          <w:sz w:val="22"/>
        </w:rPr>
        <w:t xml:space="preserve">Caveat: </w:t>
      </w:r>
      <w:r>
        <w:rPr>
          <w:rFonts w:ascii="Calibri" w:hAnsi="Calibri"/>
          <w:color w:val="525866"/>
          <w:sz w:val="22"/>
        </w:rPr>
        <w:t>Traton CEO Christian Levin expressed concern that "the underlying economy in the US is slightly worrying" — noting that transport volumes are not growing in line with GDP, and the recovery is primarily "replacement" demand driven by fleet aging and smaller carriers exiting the market rather than genuine freight volume growth. Larger fleets are more active than retail customers, suggesting a bifurcated market. This is a structural caution, not a near-term demand warning, but it tempers the multi-year upcycle narrative.</w:t>
      </w:r>
    </w:p>
    <w:p>
      <w:pPr>
        <w:pStyle w:val="Heading3"/>
      </w:pPr>
      <w:r>
        <w:rPr>
          <w:rFonts w:ascii="Calibri" w:hAnsi="Calibri"/>
          <w:b/>
          <w:color w:val="3B4259"/>
          <w:sz w:val="24"/>
        </w:rPr>
        <w:t>2. Daimler Truck Holding AG — Q2 2026 Preliminary Results &amp; Guidance Raise, July 22, 2026</w:t>
      </w:r>
    </w:p>
    <w:p>
      <w:r>
        <w:rPr>
          <w:rFonts w:ascii="Calibri" w:hAnsi="Calibri"/>
          <w:b/>
          <w:color w:val="525866"/>
          <w:sz w:val="22"/>
        </w:rPr>
        <w:t xml:space="preserve">Read-Through Type: </w:t>
      </w:r>
      <w:r>
        <w:rPr>
          <w:rFonts w:ascii="Calibri" w:hAnsi="Calibri"/>
          <w:color w:val="525866"/>
          <w:sz w:val="22"/>
        </w:rPr>
        <w:t>Direct — Daimler Truck's Trucks North America segment (Freightliner, Western Star) is PACCAR's primary North American competitor.</w:t>
      </w:r>
    </w:p>
    <w:p>
      <w:pPr>
        <w:pStyle w:val="ListBullet"/>
        <w:ind w:left="360" w:hanging="360"/>
      </w:pPr>
      <w:r>
        <w:rPr>
          <w:rFonts w:ascii="Calibri" w:hAnsi="Calibri"/>
          <w:b/>
          <w:color w:val="525866"/>
          <w:sz w:val="22"/>
        </w:rPr>
        <w:t xml:space="preserve">Guidance raised on NA strength: </w:t>
      </w:r>
      <w:r>
        <w:rPr>
          <w:rFonts w:ascii="Calibri" w:hAnsi="Calibri"/>
          <w:color w:val="525866"/>
          <w:sz w:val="22"/>
        </w:rPr>
        <w:t>Daimler Truck raised its FY2026 full-year guidance, citing "updated tariff framework and higher expected unit sales for Trucks North America." Trucks North America unit sales guidance was raised to 160,000–180,000 units (from 150,000–170,000), and the adjusted ROS guidance for the segment was dramatically raised to 9%–11% (from 6%–8%).</w:t>
      </w:r>
    </w:p>
    <w:p>
      <w:pPr>
        <w:pStyle w:val="ListBullet"/>
        <w:ind w:left="360" w:hanging="360"/>
      </w:pPr>
      <w:r>
        <w:rPr>
          <w:rFonts w:ascii="Calibri" w:hAnsi="Calibri"/>
          <w:b/>
          <w:color w:val="525866"/>
          <w:sz w:val="22"/>
        </w:rPr>
        <w:t xml:space="preserve">Q2 NA margins beat consensus: </w:t>
      </w:r>
      <w:r>
        <w:rPr>
          <w:rFonts w:ascii="Calibri" w:hAnsi="Calibri"/>
          <w:color w:val="525866"/>
          <w:sz w:val="22"/>
        </w:rPr>
        <w:t>Trucks North America Q2 adjusted ROS came in at 8.4%, above the consensus of 7.9%, despite adjusted EBIT of €435M being slightly below the €450M consensus. This margin outperformance in a competitive market is a positive read-through for PACCAR's own truck margin trajectory.</w:t>
      </w:r>
    </w:p>
    <w:p>
      <w:pPr>
        <w:pStyle w:val="ListBullet"/>
        <w:ind w:left="360" w:hanging="360"/>
      </w:pPr>
      <w:r>
        <w:rPr>
          <w:rFonts w:ascii="Calibri" w:hAnsi="Calibri"/>
          <w:b/>
          <w:color w:val="525866"/>
          <w:sz w:val="22"/>
        </w:rPr>
        <w:t xml:space="preserve">Tariff framework clarified: </w:t>
      </w:r>
      <w:r>
        <w:rPr>
          <w:rFonts w:ascii="Calibri" w:hAnsi="Calibri"/>
          <w:color w:val="525866"/>
          <w:sz w:val="22"/>
        </w:rPr>
        <w:t>The U.S. Department of Commerce approved Daimler Truck's U.S. Content application (effective November 1, 2025), which is factored into the raised guidance. This is directly relevant to PACCAR, which has also been navigating the Section 232 tariff credit mechanism — management described the credit as "fairly well defined" on the Q1 call.</w:t>
      </w:r>
    </w:p>
    <w:p>
      <w:pPr>
        <w:pStyle w:val="ListBullet"/>
        <w:ind w:left="360" w:hanging="360"/>
      </w:pPr>
      <w:r>
        <w:rPr>
          <w:rFonts w:ascii="Calibri" w:hAnsi="Calibri"/>
          <w:b/>
          <w:color w:val="525866"/>
          <w:sz w:val="22"/>
        </w:rPr>
        <w:t xml:space="preserve">Q2 NA deliveries rebounded sharply: </w:t>
      </w:r>
      <w:r>
        <w:rPr>
          <w:rFonts w:ascii="Calibri" w:hAnsi="Calibri"/>
          <w:color w:val="525866"/>
          <w:sz w:val="22"/>
        </w:rPr>
        <w:t>Trucks North America Q2 unit sales rose to 41,687 units (from 29,432 in Q1 — a 42% sequential increase), confirming the delivery ramp that PACCAR also guided for Q2.</w:t>
      </w:r>
    </w:p>
    <w:p>
      <w:r>
        <w:rPr>
          <w:rFonts w:ascii="Calibri" w:hAnsi="Calibri"/>
          <w:b/>
          <w:color w:val="525866"/>
          <w:sz w:val="22"/>
        </w:rPr>
        <w:t xml:space="preserve">Caveat: </w:t>
      </w:r>
      <w:r>
        <w:rPr>
          <w:rFonts w:ascii="Calibri" w:hAnsi="Calibri"/>
          <w:color w:val="525866"/>
          <w:sz w:val="22"/>
        </w:rPr>
        <w:t>Daimler Truck's Q2 group-level adjusted EBIT of €838M missed consensus of €878M, and Industrial Business revenue of €11.4B was below the €11.5B consensus. The guidance raise is based on the assumption that the current USMCA framework remains in place — any tariff policy change would invalidate the raised outlook. Results are preliminary and unaudited.</w:t>
      </w:r>
    </w:p>
    <w:p>
      <w:pPr>
        <w:pStyle w:val="Heading3"/>
      </w:pPr>
      <w:r>
        <w:rPr>
          <w:rFonts w:ascii="Calibri" w:hAnsi="Calibri"/>
          <w:b/>
          <w:color w:val="3B4259"/>
          <w:sz w:val="24"/>
        </w:rPr>
        <w:t>3. Volvo Group — Q2 2026 Earnings, July 17, 2026</w:t>
      </w:r>
    </w:p>
    <w:p>
      <w:r>
        <w:rPr>
          <w:rFonts w:ascii="Calibri" w:hAnsi="Calibri"/>
          <w:b/>
          <w:color w:val="525866"/>
          <w:sz w:val="22"/>
        </w:rPr>
        <w:t xml:space="preserve">Read-Through Type: </w:t>
      </w:r>
      <w:r>
        <w:rPr>
          <w:rFonts w:ascii="Calibri" w:hAnsi="Calibri"/>
          <w:color w:val="525866"/>
          <w:sz w:val="22"/>
        </w:rPr>
        <w:t>Indirect — Volvo Group competes in North America (Volvo Trucks, Mack Trucks) but reports global aggregates without a dedicated NA segment breakdown comparable to PACCAR's.</w:t>
      </w:r>
    </w:p>
    <w:p>
      <w:pPr>
        <w:pStyle w:val="ListBullet"/>
        <w:ind w:left="360" w:hanging="360"/>
      </w:pPr>
      <w:r>
        <w:rPr>
          <w:rFonts w:ascii="Calibri" w:hAnsi="Calibri"/>
          <w:b/>
          <w:color w:val="525866"/>
          <w:sz w:val="22"/>
        </w:rPr>
        <w:t xml:space="preserve">Strong global profitability: </w:t>
      </w:r>
      <w:r>
        <w:rPr>
          <w:rFonts w:ascii="Calibri" w:hAnsi="Calibri"/>
          <w:color w:val="525866"/>
          <w:sz w:val="22"/>
        </w:rPr>
        <w:t>Volvo Group reported Q2 2026 net sales of SEK 126.3B with 7% organic growth, and adjusted operating margin expanded to 11.7% (from 11.0% in Q2 2025) — the highest in recent quarters. Vehicle sales grew 6% organically and service sales grew 7%.</w:t>
      </w:r>
    </w:p>
    <w:p>
      <w:pPr>
        <w:pStyle w:val="ListBullet"/>
        <w:ind w:left="360" w:hanging="360"/>
      </w:pPr>
      <w:r>
        <w:rPr>
          <w:rFonts w:ascii="Calibri" w:hAnsi="Calibri"/>
          <w:b/>
          <w:color w:val="525866"/>
          <w:sz w:val="22"/>
        </w:rPr>
        <w:t xml:space="preserve">Fleet utilization high: </w:t>
      </w:r>
      <w:r>
        <w:rPr>
          <w:rFonts w:ascii="Calibri" w:hAnsi="Calibri"/>
          <w:color w:val="525866"/>
          <w:sz w:val="22"/>
        </w:rPr>
        <w:t>CEO Martin Lundstedt cited "continued high utilization of our customers' fleets across most markets" as the driver of broad-based growth — a positive indicator for freight rates and carrier economics that supports new truck purchasing.</w:t>
      </w:r>
    </w:p>
    <w:p>
      <w:pPr>
        <w:pStyle w:val="ListBullet"/>
        <w:ind w:left="360" w:hanging="360"/>
      </w:pPr>
      <w:r>
        <w:rPr>
          <w:rFonts w:ascii="Calibri" w:hAnsi="Calibri"/>
          <w:b/>
          <w:color w:val="525866"/>
          <w:sz w:val="22"/>
        </w:rPr>
        <w:t xml:space="preserve">NA market outlook maintained at 265k: </w:t>
      </w:r>
      <w:r>
        <w:rPr>
          <w:rFonts w:ascii="Calibri" w:hAnsi="Calibri"/>
          <w:color w:val="525866"/>
          <w:sz w:val="22"/>
        </w:rPr>
        <w:t>Volvo maintained its North American retail sales forecast of 265,000 trucks for the year, consistent with PACCAR's 230k–270k guidance range midpoint. Volvo also raised its European truck market forecast to 315,000 units (from 310,000).</w:t>
      </w:r>
    </w:p>
    <w:p>
      <w:pPr>
        <w:pStyle w:val="ListBullet"/>
        <w:ind w:left="360" w:hanging="360"/>
      </w:pPr>
      <w:r>
        <w:rPr>
          <w:rFonts w:ascii="Calibri" w:hAnsi="Calibri"/>
          <w:b/>
          <w:color w:val="525866"/>
          <w:sz w:val="22"/>
        </w:rPr>
        <w:t xml:space="preserve">NA orders surged 122%: </w:t>
      </w:r>
      <w:r>
        <w:rPr>
          <w:rFonts w:ascii="Calibri" w:hAnsi="Calibri"/>
          <w:color w:val="525866"/>
          <w:sz w:val="22"/>
        </w:rPr>
        <w:t>Truck order intake in North America more than doubled in Q2, with overall group order intake up 33%. Volvo noted that "truck industry production levels, deliveries, and retail sales are expected to increase in the second half of the year" for North America.</w:t>
      </w:r>
    </w:p>
    <w:p>
      <w:r>
        <w:rPr>
          <w:rFonts w:ascii="Calibri" w:hAnsi="Calibri"/>
          <w:b/>
          <w:color w:val="525866"/>
          <w:sz w:val="22"/>
        </w:rPr>
        <w:t xml:space="preserve">Caveat: </w:t>
      </w:r>
      <w:r>
        <w:rPr>
          <w:rFonts w:ascii="Calibri" w:hAnsi="Calibri"/>
          <w:color w:val="525866"/>
          <w:sz w:val="22"/>
        </w:rPr>
        <w:t>Volvo's report provides global aggregates without a dedicated North American segment P&amp;L, making direct margin comparisons to PACCAR difficult. The 6% organic vehicle sales growth is a global figure; North American first-half retail sales fell 18% year-over-year even as orders surged, confirming the order-to-delivery lag dynamic also seen at Traton. No specific commentary on EPA 2027 pre-buy or tariff credits was provided.</w:t>
      </w:r>
    </w:p>
    <w:p>
      <w:pPr>
        <w:pStyle w:val="Heading3"/>
      </w:pPr>
      <w:r>
        <w:rPr>
          <w:rFonts w:ascii="Calibri" w:hAnsi="Calibri"/>
          <w:b/>
          <w:color w:val="3B4259"/>
          <w:sz w:val="24"/>
        </w:rPr>
        <w:t>4. J.B. Hunt Transport Services (JBHT) — Q2 2026 Earnings, July 15, 2026</w:t>
      </w:r>
    </w:p>
    <w:p>
      <w:r>
        <w:rPr>
          <w:rFonts w:ascii="Calibri" w:hAnsi="Calibri"/>
          <w:b/>
          <w:color w:val="525866"/>
          <w:sz w:val="22"/>
        </w:rPr>
        <w:t xml:space="preserve">Read-Through Type: </w:t>
      </w:r>
      <w:r>
        <w:rPr>
          <w:rFonts w:ascii="Calibri" w:hAnsi="Calibri"/>
          <w:color w:val="525866"/>
          <w:sz w:val="22"/>
        </w:rPr>
        <w:t>Indirect — JBHT is a major trucking and intermodal carrier, not a truck manufacturer. Its results reflect end-market freight demand conditions that drive PACCAR's customer base.</w:t>
      </w:r>
    </w:p>
    <w:p>
      <w:pPr>
        <w:pStyle w:val="ListBullet"/>
        <w:ind w:left="360" w:hanging="360"/>
      </w:pPr>
      <w:r>
        <w:rPr>
          <w:rFonts w:ascii="Calibri" w:hAnsi="Calibri"/>
          <w:b/>
          <w:color w:val="525866"/>
          <w:sz w:val="22"/>
        </w:rPr>
        <w:t xml:space="preserve">Freight market recovery confirmed: </w:t>
      </w:r>
      <w:r>
        <w:rPr>
          <w:rFonts w:ascii="Calibri" w:hAnsi="Calibri"/>
          <w:color w:val="525866"/>
          <w:sz w:val="22"/>
        </w:rPr>
        <w:t>JBHT reported Q2 2026 total operating revenue of $3.50B (+19% YoY), with EPS of $1.91 beating consensus of $1.74 by 10%. Intermodal volume grew 10%, truckload load volume grew 14%, and ICS volume grew 19%. CEO Shelley Simpson cited "leveraging investments in people, technology, and capacity to drive growth and improve profitability."</w:t>
      </w:r>
    </w:p>
    <w:p>
      <w:pPr>
        <w:pStyle w:val="ListBullet"/>
        <w:ind w:left="360" w:hanging="360"/>
      </w:pPr>
      <w:r>
        <w:rPr>
          <w:rFonts w:ascii="Calibri" w:hAnsi="Calibri"/>
          <w:b/>
          <w:color w:val="525866"/>
          <w:sz w:val="22"/>
        </w:rPr>
        <w:t xml:space="preserve">Constrained driver/capacity availability: </w:t>
      </w:r>
      <w:r>
        <w:rPr>
          <w:rFonts w:ascii="Calibri" w:hAnsi="Calibri"/>
          <w:color w:val="525866"/>
          <w:sz w:val="22"/>
        </w:rPr>
        <w:t>JBHT noted that "overall demand for intermodal service increased throughout the quarter driven by the strong value proposition it presents to customers facing higher fuel prices and constrained driver and capacity availability in other transportation modes" — a direct positive for PACCAR's Class 8 truck demand outlook.</w:t>
      </w:r>
    </w:p>
    <w:p>
      <w:pPr>
        <w:pStyle w:val="ListBullet"/>
        <w:ind w:left="360" w:hanging="360"/>
      </w:pPr>
      <w:r>
        <w:rPr>
          <w:rFonts w:ascii="Calibri" w:hAnsi="Calibri"/>
          <w:b/>
          <w:color w:val="525866"/>
          <w:sz w:val="22"/>
        </w:rPr>
        <w:t xml:space="preserve">Capital expenditures declined sharply: </w:t>
      </w:r>
      <w:r>
        <w:rPr>
          <w:rFonts w:ascii="Calibri" w:hAnsi="Calibri"/>
          <w:color w:val="525866"/>
          <w:sz w:val="22"/>
        </w:rPr>
        <w:t>Net capex for H1 2026 was $144.9M vs. $399.1M in H1 2025 — a 64% decline. This is a potential headwind for PACCAR's near-term truck order intake from JBHT specifically, though the broader market order data from Traton and Daimler suggests this is company-specific rather than industry-wide.</w:t>
      </w:r>
    </w:p>
    <w:p>
      <w:r>
        <w:rPr>
          <w:rFonts w:ascii="Calibri" w:hAnsi="Calibri"/>
          <w:b/>
          <w:color w:val="525866"/>
          <w:sz w:val="22"/>
        </w:rPr>
        <w:t xml:space="preserve">Caveat: </w:t>
      </w:r>
      <w:r>
        <w:rPr>
          <w:rFonts w:ascii="Calibri" w:hAnsi="Calibri"/>
          <w:color w:val="525866"/>
          <w:sz w:val="22"/>
        </w:rPr>
        <w:t>JBHT's sharp capex reduction is a company-specific signal and should not be extrapolated to the broader fleet market. The intermodal shift (away from trucking) is a structural trend that could modestly dampen Class 8 demand at the margin. JBHT's results are a demand-side read-through, not a supply-side (manufacturer) signal.</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Read-Through Type</w:t>
            </w:r>
          </w:p>
        </w:tc>
        <w:tc>
          <w:tcPr>
            <w:tcW w:type="dxa" w:w="1728"/>
            <w:shd w:val="clear" w:color="auto" w:fill="3B4259"/>
          </w:tcPr>
          <w:p>
            <w:r>
              <w:rPr>
                <w:rFonts w:ascii="Calibri" w:hAnsi="Calibri"/>
                <w:b/>
                <w:color w:val="FFFFFF"/>
                <w:sz w:val="22"/>
              </w:rPr>
              <w:t>Key Signal for PCAR</w:t>
            </w:r>
          </w:p>
        </w:tc>
        <w:tc>
          <w:tcPr>
            <w:tcW w:type="dxa" w:w="1728"/>
            <w:shd w:val="clear" w:color="auto" w:fill="3B4259"/>
          </w:tcPr>
          <w:p>
            <w:r>
              <w:rPr>
                <w:rFonts w:ascii="Calibri" w:hAnsi="Calibri"/>
                <w:b/>
                <w:color w:val="FFFFFF"/>
                <w:sz w:val="22"/>
              </w:rPr>
              <w:t>Direction</w:t>
            </w:r>
          </w:p>
        </w:tc>
      </w:tr>
      <w:tr>
        <w:tc>
          <w:tcPr>
            <w:tcW w:type="dxa" w:w="1728"/>
          </w:tcPr>
          <w:p>
            <w:r>
              <w:rPr>
                <w:rFonts w:ascii="Calibri" w:hAnsi="Calibri"/>
                <w:sz w:val="22"/>
              </w:rPr>
              <w:t>Traton SE (International)</w:t>
            </w:r>
          </w:p>
        </w:tc>
        <w:tc>
          <w:tcPr>
            <w:tcW w:type="dxa" w:w="1728"/>
          </w:tcPr>
          <w:p>
            <w:r>
              <w:rPr>
                <w:rFonts w:ascii="Calibri" w:hAnsi="Calibri"/>
                <w:sz w:val="22"/>
              </w:rPr>
              <w:t>Jul 23, 2026</w:t>
            </w:r>
          </w:p>
        </w:tc>
        <w:tc>
          <w:tcPr>
            <w:tcW w:type="dxa" w:w="1728"/>
          </w:tcPr>
          <w:p>
            <w:r>
              <w:rPr>
                <w:rFonts w:ascii="Calibri" w:hAnsi="Calibri"/>
                <w:sz w:val="22"/>
              </w:rPr>
              <w:t>Direct (NA Class 8 competitor)</w:t>
            </w:r>
          </w:p>
        </w:tc>
        <w:tc>
          <w:tcPr>
            <w:tcW w:type="dxa" w:w="1728"/>
          </w:tcPr>
          <w:p>
            <w:r>
              <w:rPr>
                <w:rFonts w:ascii="Calibri" w:hAnsi="Calibri"/>
                <w:sz w:val="22"/>
              </w:rPr>
              <w:t>NA orders tripled; EPA 2027 pre-buy confirmed; pricing optionality emerging in H2; delivery lag vs. orders (temporary)</w:t>
            </w:r>
          </w:p>
        </w:tc>
        <w:tc>
          <w:tcPr>
            <w:tcW w:type="dxa" w:w="1728"/>
          </w:tcPr>
          <w:p>
            <w:r>
              <w:rPr>
                <w:rFonts w:ascii="Calibri" w:hAnsi="Calibri"/>
                <w:b/>
                <w:color w:val="30A46C"/>
                <w:sz w:val="22"/>
              </w:rPr>
              <w:t>Positive</w:t>
            </w:r>
          </w:p>
        </w:tc>
      </w:tr>
      <w:tr>
        <w:tc>
          <w:tcPr>
            <w:tcW w:type="dxa" w:w="1728"/>
          </w:tcPr>
          <w:p>
            <w:r>
              <w:rPr>
                <w:rFonts w:ascii="Calibri" w:hAnsi="Calibri"/>
                <w:sz w:val="22"/>
              </w:rPr>
              <w:t>Daimler Truck (Freightliner)</w:t>
            </w:r>
          </w:p>
        </w:tc>
        <w:tc>
          <w:tcPr>
            <w:tcW w:type="dxa" w:w="1728"/>
          </w:tcPr>
          <w:p>
            <w:r>
              <w:rPr>
                <w:rFonts w:ascii="Calibri" w:hAnsi="Calibri"/>
                <w:sz w:val="22"/>
              </w:rPr>
              <w:t>Jul 22, 2026</w:t>
            </w:r>
          </w:p>
        </w:tc>
        <w:tc>
          <w:tcPr>
            <w:tcW w:type="dxa" w:w="1728"/>
          </w:tcPr>
          <w:p>
            <w:r>
              <w:rPr>
                <w:rFonts w:ascii="Calibri" w:hAnsi="Calibri"/>
                <w:sz w:val="22"/>
              </w:rPr>
              <w:t>Direct (NA Class 8 competitor)</w:t>
            </w:r>
          </w:p>
        </w:tc>
        <w:tc>
          <w:tcPr>
            <w:tcW w:type="dxa" w:w="1728"/>
          </w:tcPr>
          <w:p>
            <w:r>
              <w:rPr>
                <w:rFonts w:ascii="Calibri" w:hAnsi="Calibri"/>
                <w:sz w:val="22"/>
              </w:rPr>
              <w:t>NA guidance raised; Q2 NA ROS beat consensus; tariff credit mechanism clarified; Q2 NA deliveries +42% QoQ</w:t>
            </w:r>
          </w:p>
        </w:tc>
        <w:tc>
          <w:tcPr>
            <w:tcW w:type="dxa" w:w="1728"/>
          </w:tcPr>
          <w:p>
            <w:r>
              <w:rPr>
                <w:rFonts w:ascii="Calibri" w:hAnsi="Calibri"/>
                <w:b/>
                <w:color w:val="30A46C"/>
                <w:sz w:val="22"/>
              </w:rPr>
              <w:t>Positive</w:t>
            </w:r>
          </w:p>
        </w:tc>
      </w:tr>
      <w:tr>
        <w:tc>
          <w:tcPr>
            <w:tcW w:type="dxa" w:w="1728"/>
          </w:tcPr>
          <w:p>
            <w:r>
              <w:rPr>
                <w:rFonts w:ascii="Calibri" w:hAnsi="Calibri"/>
                <w:sz w:val="22"/>
              </w:rPr>
              <w:t>Volvo Group (Volvo/Mack)</w:t>
            </w:r>
          </w:p>
        </w:tc>
        <w:tc>
          <w:tcPr>
            <w:tcW w:type="dxa" w:w="1728"/>
          </w:tcPr>
          <w:p>
            <w:r>
              <w:rPr>
                <w:rFonts w:ascii="Calibri" w:hAnsi="Calibri"/>
                <w:sz w:val="22"/>
              </w:rPr>
              <w:t>Jul 17, 2026</w:t>
            </w:r>
          </w:p>
        </w:tc>
        <w:tc>
          <w:tcPr>
            <w:tcW w:type="dxa" w:w="1728"/>
          </w:tcPr>
          <w:p>
            <w:r>
              <w:rPr>
                <w:rFonts w:ascii="Calibri" w:hAnsi="Calibri"/>
                <w:sz w:val="22"/>
              </w:rPr>
              <w:t>Indirect (global aggregates)</w:t>
            </w:r>
          </w:p>
        </w:tc>
        <w:tc>
          <w:tcPr>
            <w:tcW w:type="dxa" w:w="1728"/>
          </w:tcPr>
          <w:p>
            <w:r>
              <w:rPr>
                <w:rFonts w:ascii="Calibri" w:hAnsi="Calibri"/>
                <w:sz w:val="22"/>
              </w:rPr>
              <w:t>Record margins; high fleet utilization; NA orders +122%; maintained 265k NA outlook; H2 delivery ramp expected</w:t>
            </w:r>
          </w:p>
        </w:tc>
        <w:tc>
          <w:tcPr>
            <w:tcW w:type="dxa" w:w="1728"/>
          </w:tcPr>
          <w:p>
            <w:r>
              <w:rPr>
                <w:rFonts w:ascii="Calibri" w:hAnsi="Calibri"/>
                <w:b/>
                <w:color w:val="30A46C"/>
                <w:sz w:val="22"/>
              </w:rPr>
              <w:t>Positive</w:t>
            </w:r>
          </w:p>
        </w:tc>
      </w:tr>
      <w:tr>
        <w:tc>
          <w:tcPr>
            <w:tcW w:type="dxa" w:w="1728"/>
          </w:tcPr>
          <w:p>
            <w:r>
              <w:rPr>
                <w:rFonts w:ascii="Calibri" w:hAnsi="Calibri"/>
                <w:sz w:val="22"/>
              </w:rPr>
              <w:t>J.B. Hunt (JBHT)</w:t>
            </w:r>
          </w:p>
        </w:tc>
        <w:tc>
          <w:tcPr>
            <w:tcW w:type="dxa" w:w="1728"/>
          </w:tcPr>
          <w:p>
            <w:r>
              <w:rPr>
                <w:rFonts w:ascii="Calibri" w:hAnsi="Calibri"/>
                <w:sz w:val="22"/>
              </w:rPr>
              <w:t>Jul 15, 2026</w:t>
            </w:r>
          </w:p>
        </w:tc>
        <w:tc>
          <w:tcPr>
            <w:tcW w:type="dxa" w:w="1728"/>
          </w:tcPr>
          <w:p>
            <w:r>
              <w:rPr>
                <w:rFonts w:ascii="Calibri" w:hAnsi="Calibri"/>
                <w:sz w:val="22"/>
              </w:rPr>
              <w:t>Indirect (carrier/end-market)</w:t>
            </w:r>
          </w:p>
        </w:tc>
        <w:tc>
          <w:tcPr>
            <w:tcW w:type="dxa" w:w="1728"/>
          </w:tcPr>
          <w:p>
            <w:r>
              <w:rPr>
                <w:rFonts w:ascii="Calibri" w:hAnsi="Calibri"/>
                <w:sz w:val="22"/>
              </w:rPr>
              <w:t>Freight volumes strong; constrained capacity; but JBHT capex −64% YoY (company-specific headwind)</w:t>
            </w:r>
          </w:p>
        </w:tc>
        <w:tc>
          <w:tcPr>
            <w:tcW w:type="dxa" w:w="1728"/>
          </w:tcPr>
          <w:p>
            <w:r>
              <w:rPr>
                <w:rFonts w:ascii="Calibri" w:hAnsi="Calibri"/>
                <w:b/>
                <w:color w:val="002FA7"/>
                <w:sz w:val="22"/>
              </w:rPr>
              <w:t>Mixed</w:t>
            </w:r>
          </w:p>
        </w:tc>
      </w:tr>
    </w:tbl>
    <w:p>
      <w:r>
        <w:br w:type="page"/>
      </w:r>
    </w:p>
    <w:p>
      <w:pPr>
        <w:pStyle w:val="Heading2"/>
      </w:pPr>
      <w:r>
        <w:rPr>
          <w:rFonts w:ascii="Calibri" w:hAnsi="Calibri"/>
          <w:b/>
          <w:color w:val="3B4259"/>
          <w:sz w:val="28"/>
        </w:rPr>
        <w:t>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Daimler Truck guidance raise on July 22</w:t>
      </w:r>
      <w:r>
        <w:rPr>
          <w:rFonts w:ascii="Calibri" w:hAnsi="Calibri"/>
          <w:color w:val="525866"/>
          <w:sz w:val="22"/>
        </w:rPr>
        <w:t>, which directly validates PACCAR's constructive H2 2026 outlook and confirms the Section 232 tariff credit mechanism is real and quantifiable — a potential incremental margin catalyst for PCAR's Q2 print.</w:t>
      </w:r>
    </w:p>
    <w:p>
      <w:pPr>
        <w:pStyle w:val="ListBullet"/>
        <w:ind w:left="360" w:hanging="360"/>
      </w:pPr>
      <w:r>
        <w:rPr>
          <w:rFonts w:ascii="Calibri" w:hAnsi="Calibri"/>
          <w:b/>
          <w:color w:val="525866"/>
          <w:sz w:val="22"/>
        </w:rPr>
        <w:t xml:space="preserve">Jul 22, 2026 — Daimler Truck raises FY2026 guidance on NA strength and tariff update: </w:t>
      </w:r>
      <w:r>
        <w:rPr>
          <w:rFonts w:ascii="Calibri" w:hAnsi="Calibri"/>
          <w:color w:val="525866"/>
          <w:sz w:val="22"/>
        </w:rPr>
        <w:t xml:space="preserve">Daimler Truck raised its FY2026 adjusted EBIT guidance to €3.6–4.1B (from €3.2–3.7B) and Trucks North America ROS guidance to 9%–11% (from 6%–8%), citing the updated tariff framework and higher expected NA unit sales. The U.S. Department of Commerce approved Daimler Truck's U.S. Content application (effective Nov 1, 2025). </w:t>
      </w:r>
      <w:r>
        <w:rPr>
          <w:rFonts w:ascii="Calibri" w:hAnsi="Calibri"/>
          <w:i/>
          <w:color w:val="525866"/>
          <w:sz w:val="22"/>
        </w:rPr>
        <w:t xml:space="preserve">Implication: </w:t>
      </w:r>
      <w:r>
        <w:rPr>
          <w:rFonts w:ascii="Calibri" w:hAnsi="Calibri"/>
          <w:i/>
          <w:color w:val="525866"/>
          <w:sz w:val="22"/>
        </w:rPr>
        <w:t>Directly validates PACCAR's Section 232 tariff credit thesis and confirms the NA market is stronger than feared. PACCAR's own credit application is "fairly well defined" per management.</w:t>
      </w:r>
    </w:p>
    <w:p>
      <w:pPr>
        <w:pStyle w:val="ListBullet"/>
        <w:ind w:left="360" w:hanging="360"/>
      </w:pPr>
      <w:r>
        <w:rPr>
          <w:rFonts w:ascii="Calibri" w:hAnsi="Calibri"/>
          <w:b/>
          <w:color w:val="525866"/>
          <w:sz w:val="22"/>
        </w:rPr>
        <w:t xml:space="preserve">Jul 23, 2026 — Traton raises NA market outlook, confirms EPA 2027 pre-buy: </w:t>
      </w:r>
      <w:r>
        <w:rPr>
          <w:rFonts w:ascii="Calibri" w:hAnsi="Calibri"/>
          <w:color w:val="525866"/>
          <w:sz w:val="22"/>
        </w:rPr>
        <w:t xml:space="preserve">Traton raised its North American market midpoint to +5% growth (Class 8 potentially +9% to ~282k units) and reported Q2 NA order intake nearly tripling. Traton confirmed EPA 2027 pre-buy is an active demand driver. </w:t>
      </w:r>
      <w:r>
        <w:rPr>
          <w:rFonts w:ascii="Calibri" w:hAnsi="Calibri"/>
          <w:i/>
          <w:color w:val="525866"/>
          <w:sz w:val="22"/>
        </w:rPr>
        <w:t xml:space="preserve">Implication: </w:t>
      </w:r>
      <w:r>
        <w:rPr>
          <w:rFonts w:ascii="Calibri" w:hAnsi="Calibri"/>
          <w:i/>
          <w:color w:val="525866"/>
          <w:sz w:val="22"/>
        </w:rPr>
        <w:t>Supports PACCAR's H2 2026 delivery ramp and pre-buy narrative; Traton's 2026 production is "basically already sold out," suggesting tight supply that could support pricing.</w:t>
      </w:r>
    </w:p>
    <w:p>
      <w:pPr>
        <w:pStyle w:val="ListBullet"/>
        <w:ind w:left="360" w:hanging="360"/>
      </w:pPr>
      <w:r>
        <w:rPr>
          <w:rFonts w:ascii="Calibri" w:hAnsi="Calibri"/>
          <w:b/>
          <w:color w:val="525866"/>
          <w:sz w:val="22"/>
        </w:rPr>
        <w:t xml:space="preserve">Jul 17, 2026 — Volvo Group Q2 2026: record margins, NA orders +122%: </w:t>
      </w:r>
      <w:r>
        <w:rPr>
          <w:rFonts w:ascii="Calibri" w:hAnsi="Calibri"/>
          <w:color w:val="525866"/>
          <w:sz w:val="22"/>
        </w:rPr>
        <w:t xml:space="preserve">Volvo reported its highest adjusted operating margin in recent quarters (11.7%) and confirmed NA truck order intake more than doubled in Q2. Volvo maintained its 265k NA retail sales forecast and guided for H2 production/delivery increases. </w:t>
      </w:r>
      <w:r>
        <w:rPr>
          <w:rFonts w:ascii="Calibri" w:hAnsi="Calibri"/>
          <w:i/>
          <w:color w:val="525866"/>
          <w:sz w:val="22"/>
        </w:rPr>
        <w:t xml:space="preserve">Implication: </w:t>
      </w:r>
      <w:r>
        <w:rPr>
          <w:rFonts w:ascii="Calibri" w:hAnsi="Calibri"/>
          <w:i/>
          <w:color w:val="525866"/>
          <w:sz w:val="22"/>
        </w:rPr>
        <w:t>Third consecutive peer confirmation of NA market recovery; high fleet utilization supports Parts revenue acceleration.</w:t>
      </w:r>
    </w:p>
    <w:p>
      <w:pPr>
        <w:pStyle w:val="ListBullet"/>
        <w:ind w:left="360" w:hanging="360"/>
      </w:pPr>
      <w:r>
        <w:rPr>
          <w:rFonts w:ascii="Calibri" w:hAnsi="Calibri"/>
          <w:b/>
          <w:color w:val="525866"/>
          <w:sz w:val="22"/>
        </w:rPr>
        <w:t xml:space="preserve">Jul 15, 2026 — J.B. Hunt Q2 2026 beat: freight market recovery confirmed: </w:t>
      </w:r>
      <w:r>
        <w:rPr>
          <w:rFonts w:ascii="Calibri" w:hAnsi="Calibri"/>
          <w:color w:val="525866"/>
          <w:sz w:val="22"/>
        </w:rPr>
        <w:t xml:space="preserve">JBHT reported EPS of $1.91 vs. $1.74 consensus (+10% beat), with intermodal volume +10% and truckload volume +14%. Management cited constrained driver and capacity availability as a demand driver for intermodal. </w:t>
      </w:r>
      <w:r>
        <w:rPr>
          <w:rFonts w:ascii="Calibri" w:hAnsi="Calibri"/>
          <w:i/>
          <w:color w:val="525866"/>
          <w:sz w:val="22"/>
        </w:rPr>
        <w:t xml:space="preserve">Implication: </w:t>
      </w:r>
      <w:r>
        <w:rPr>
          <w:rFonts w:ascii="Calibri" w:hAnsi="Calibri"/>
          <w:i/>
          <w:color w:val="525866"/>
          <w:sz w:val="22"/>
        </w:rPr>
        <w:t>Confirms improving carrier economics that support fleet replacement demand for PACCAR's customers.</w:t>
      </w:r>
    </w:p>
    <w:p>
      <w:pPr>
        <w:pStyle w:val="ListBullet"/>
        <w:ind w:left="360" w:hanging="360"/>
      </w:pPr>
      <w:r>
        <w:rPr>
          <w:rFonts w:ascii="Calibri" w:hAnsi="Calibri"/>
          <w:b/>
          <w:color w:val="525866"/>
          <w:sz w:val="22"/>
        </w:rPr>
        <w:t xml:space="preserve">Jul 13–14, 2026 — Traton Q2 upside pre-announcement (operating margins 8.1%): </w:t>
      </w:r>
      <w:r>
        <w:rPr>
          <w:rFonts w:ascii="Calibri" w:hAnsi="Calibri"/>
          <w:color w:val="525866"/>
          <w:sz w:val="22"/>
        </w:rPr>
        <w:t xml:space="preserve">Traton pre-released Q2 adjusted ROS of 8.1%, significantly above expectations, primarily driven by International Motors tariff-related receivables recognized in Q2. </w:t>
      </w:r>
      <w:r>
        <w:rPr>
          <w:rFonts w:ascii="Calibri" w:hAnsi="Calibri"/>
          <w:i/>
          <w:color w:val="525866"/>
          <w:sz w:val="22"/>
        </w:rPr>
        <w:t xml:space="preserve">Implication: </w:t>
      </w:r>
      <w:r>
        <w:rPr>
          <w:rFonts w:ascii="Calibri" w:hAnsi="Calibri"/>
          <w:i/>
          <w:color w:val="525866"/>
          <w:sz w:val="22"/>
        </w:rPr>
        <w:t>First signal that tariff credit recognition could be a meaningful Q2 margin tailwind for NA truck manufacturers, including PACCAR.</w:t>
      </w:r>
    </w:p>
    <w:p>
      <w:pPr>
        <w:pStyle w:val="ListBullet"/>
        <w:ind w:left="360" w:hanging="360"/>
      </w:pPr>
      <w:r>
        <w:rPr>
          <w:rFonts w:ascii="Calibri" w:hAnsi="Calibri"/>
          <w:b/>
          <w:color w:val="525866"/>
          <w:sz w:val="22"/>
        </w:rPr>
        <w:t xml:space="preserve">Jul 14, 2026 — Wabash National $150M convertible notes offering: </w:t>
      </w:r>
      <w:r>
        <w:rPr>
          <w:rFonts w:ascii="Calibri" w:hAnsi="Calibri"/>
          <w:color w:val="525866"/>
          <w:sz w:val="22"/>
        </w:rPr>
        <w:t xml:space="preserve">Wabash National (trailer manufacturer) completed a $150M convertible notes offering. </w:t>
      </w:r>
      <w:r>
        <w:rPr>
          <w:rFonts w:ascii="Calibri" w:hAnsi="Calibri"/>
          <w:i/>
          <w:color w:val="525866"/>
          <w:sz w:val="22"/>
        </w:rPr>
        <w:t xml:space="preserve">Implication: </w:t>
      </w:r>
      <w:r>
        <w:rPr>
          <w:rFonts w:ascii="Calibri" w:hAnsi="Calibri"/>
          <w:i/>
          <w:color w:val="525866"/>
          <w:sz w:val="22"/>
        </w:rPr>
        <w:t>Suggests trailer manufacturers are raising capital ahead of an anticipated production ramp — a positive leading indicator for the broader commercial vehicle supply chain.</w:t>
      </w:r>
    </w:p>
    <w:p>
      <w:pPr>
        <w:pStyle w:val="ListBullet"/>
        <w:ind w:left="360" w:hanging="360"/>
      </w:pPr>
      <w:r>
        <w:rPr>
          <w:rFonts w:ascii="Calibri" w:hAnsi="Calibri"/>
          <w:b/>
          <w:color w:val="525866"/>
          <w:sz w:val="22"/>
        </w:rPr>
        <w:t xml:space="preserve">May 1, 2026 — PACCAR CEO 2025 compensation: $19.45M, shareholders back executive pay: </w:t>
      </w:r>
      <w:r>
        <w:rPr>
          <w:rFonts w:ascii="Calibri" w:hAnsi="Calibri"/>
          <w:color w:val="525866"/>
          <w:sz w:val="22"/>
        </w:rPr>
        <w:t xml:space="preserve">PACCAR filed an 8-K disclosing CEO Preston Feight's 2025 total compensation of $19.45M. Shareholders approved executive compensation at the annual meeting. </w:t>
      </w:r>
      <w:r>
        <w:rPr>
          <w:rFonts w:ascii="Calibri" w:hAnsi="Calibri"/>
          <w:i/>
          <w:color w:val="525866"/>
          <w:sz w:val="22"/>
        </w:rPr>
        <w:t xml:space="preserve">Implication: </w:t>
      </w:r>
      <w:r>
        <w:rPr>
          <w:rFonts w:ascii="Calibri" w:hAnsi="Calibri"/>
          <w:i/>
          <w:color w:val="525866"/>
          <w:sz w:val="22"/>
        </w:rPr>
        <w:t>Routine governance item; no material impact on the earnings setup.</w:t>
      </w:r>
    </w:p>
    <w:p>
      <w:pPr>
        <w:pStyle w:val="ListBullet"/>
        <w:ind w:left="360" w:hanging="360"/>
      </w:pPr>
      <w:r>
        <w:rPr>
          <w:rFonts w:ascii="Calibri" w:hAnsi="Calibri"/>
          <w:b/>
          <w:color w:val="525866"/>
          <w:sz w:val="22"/>
        </w:rPr>
        <w:t xml:space="preserve">Ongoing — Tariff policy volatility (Section 301, Canada 50% threat): </w:t>
      </w:r>
      <w:r>
        <w:rPr>
          <w:rFonts w:ascii="Calibri" w:hAnsi="Calibri"/>
          <w:color w:val="525866"/>
          <w:sz w:val="22"/>
        </w:rPr>
        <w:t xml:space="preserve">The Trump administration imposed new 10%–12.5% tariffs on 60 trading partners under Section 301 (effective July 25). Trump also threatened 50% tariffs on Canadian goods. PACCAR's local-for-local manufacturing strategy (US trucks built in US, Canadian trucks in Canada) provides structural insulation, but raw material cost volatility (steel, aluminum) remains a headwind. </w:t>
      </w:r>
      <w:r>
        <w:rPr>
          <w:rFonts w:ascii="Calibri" w:hAnsi="Calibri"/>
          <w:i/>
          <w:color w:val="525866"/>
          <w:sz w:val="22"/>
        </w:rPr>
        <w:t xml:space="preserve">Implication: </w:t>
      </w:r>
      <w:r>
        <w:rPr>
          <w:rFonts w:ascii="Calibri" w:hAnsi="Calibri"/>
          <w:i/>
          <w:color w:val="525866"/>
          <w:sz w:val="22"/>
        </w:rPr>
        <w:t>Key wildcard for Q2 margin guidance — management will likely be asked about raw material cost trajectory and tariff credit timing on the call.</w:t>
      </w:r>
    </w:p>
    <w:p>
      <w:r>
        <w:br w:type="page"/>
      </w:r>
    </w:p>
    <w:p>
      <w:pPr>
        <w:pStyle w:val="Heading2"/>
      </w:pPr>
      <w:r>
        <w:rPr>
          <w:rFonts w:ascii="Calibri" w:hAnsi="Calibri"/>
          <w:b/>
          <w:color w:val="3B4259"/>
          <w:sz w:val="28"/>
        </w:rPr>
        <w:t>Insider Transaction Activity</w:t>
      </w:r>
    </w:p>
    <w:p>
      <w:r>
        <w:rPr>
          <w:rFonts w:ascii="Calibri" w:hAnsi="Calibri"/>
          <w:b/>
          <w:color w:val="525866"/>
          <w:sz w:val="22"/>
        </w:rPr>
        <w:t xml:space="preserve">Key Takeaway: </w:t>
      </w:r>
      <w:r>
        <w:rPr>
          <w:rFonts w:ascii="Calibri" w:hAnsi="Calibri"/>
          <w:color w:val="525866"/>
          <w:sz w:val="22"/>
        </w:rPr>
        <w:t>No open-market insider purchases or sales were identified for PCAR in the period since the Q1 2026 earnings date (April 28, 2026). The SEC Form 4 filings retrieved for PCAR in this period relate to equity award grants and tax-withholding transactions (non-discretionary), not open-market buys or sells. The absence of discretionary insider selling ahead of earnings is a mild positive signal — insiders are not reducing exposure into the print.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No open-market transactions identified</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SEC Form 4 filings since Apr 28, 2026 reflect equity award grants and tax-withholding dispositions only (non-discretionary). No open-market buys (code P) or discretionary sells (code S) identified.</w:t>
            </w:r>
          </w:p>
        </w:tc>
      </w:tr>
    </w:tbl>
    <w:p>
      <w:r>
        <w:rPr>
          <w:rFonts w:ascii="Calibri" w:hAnsi="Calibri"/>
          <w:color w:val="525866"/>
          <w:sz w:val="22"/>
        </w:rPr>
        <w:t>Source: SEC EDGAR Form 4 filings for PACCAR Inc. (CIK 75362), April 28 – July 27, 2026. Multiple Form 4 filings were identified in this period; all relate to equity compensation plan transactions (grants, vesting, and associated tax-withholding dispositions) rather than discretionary open-market activity. No Form 144 (intended sale) filings were identified for PCAR insiders in this window.</w:t>
      </w:r>
    </w:p>
    <w:p>
      <w:r>
        <w:br w:type="page"/>
      </w:r>
    </w:p>
    <w:p>
      <w:pPr>
        <w:pStyle w:val="Heading2"/>
      </w:pPr>
      <w:r>
        <w:rPr>
          <w:rFonts w:ascii="Calibri" w:hAnsi="Calibri"/>
          <w:b/>
          <w:color w:val="3B4259"/>
          <w:sz w:val="28"/>
        </w:rPr>
        <w:t>Appendix: Key Data Sources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All consensus estimates and reported actuals for EPS, revenue, truck deliveries, gross margins, and industry production figures. Source: https://insights.visiblealpha.com/mex/PCAR/NMV/</w:t>
      </w:r>
    </w:p>
    <w:p>
      <w:pPr>
        <w:pStyle w:val="ListBullet"/>
        <w:ind w:left="360" w:hanging="360"/>
      </w:pPr>
      <w:r>
        <w:rPr>
          <w:rFonts w:ascii="Calibri" w:hAnsi="Calibri"/>
          <w:b/>
          <w:color w:val="525866"/>
          <w:sz w:val="22"/>
        </w:rPr>
        <w:t>PACCAR Q1 2026 Earnings Release &amp; Transcript</w:t>
      </w:r>
      <w:r>
        <w:rPr>
          <w:rFonts w:ascii="Calibri" w:hAnsi="Calibri"/>
          <w:color w:val="525866"/>
          <w:sz w:val="22"/>
        </w:rPr>
        <w:t xml:space="preserve"> — April 28, 2026. Source of Q2 2026 delivery guidance (37–38k units), margin guidance (~13.5% Truck, Parts &amp; Other), Parts growth guidance (+3% QoQ), and all management commentary cited in this report.</w:t>
      </w:r>
    </w:p>
    <w:p>
      <w:pPr>
        <w:pStyle w:val="ListBullet"/>
        <w:ind w:left="360" w:hanging="360"/>
      </w:pPr>
      <w:r>
        <w:rPr>
          <w:rFonts w:ascii="Calibri" w:hAnsi="Calibri"/>
          <w:b/>
          <w:color w:val="525866"/>
          <w:sz w:val="22"/>
        </w:rPr>
        <w:t>Stock Price Data</w:t>
      </w:r>
      <w:r>
        <w:rPr>
          <w:rFonts w:ascii="Calibri" w:hAnsi="Calibri"/>
          <w:color w:val="525866"/>
          <w:sz w:val="22"/>
        </w:rPr>
        <w:t xml:space="preserve"> — Yahoo Finance. PCAR, IYT, SPY daily close prices April 27 – July 28, 2026.</w:t>
      </w:r>
    </w:p>
    <w:p>
      <w:pPr>
        <w:pStyle w:val="ListBullet"/>
        <w:ind w:left="360" w:hanging="360"/>
      </w:pPr>
      <w:r>
        <w:rPr>
          <w:rFonts w:ascii="Calibri" w:hAnsi="Calibri"/>
          <w:b/>
          <w:color w:val="525866"/>
          <w:sz w:val="22"/>
        </w:rPr>
        <w:t>Traton SE Q2 2026 Earnings Call Transcript</w:t>
      </w:r>
      <w:r>
        <w:rPr>
          <w:rFonts w:ascii="Calibri" w:hAnsi="Calibri"/>
          <w:color w:val="525866"/>
          <w:sz w:val="22"/>
        </w:rPr>
        <w:t xml:space="preserve"> — July 23, 2026. Source of NA order intake, EPA 2027 pre-buy commentary, and market outlook revisions.</w:t>
      </w:r>
    </w:p>
    <w:p>
      <w:pPr>
        <w:pStyle w:val="ListBullet"/>
        <w:ind w:left="360" w:hanging="360"/>
      </w:pPr>
      <w:r>
        <w:rPr>
          <w:rFonts w:ascii="Calibri" w:hAnsi="Calibri"/>
          <w:b/>
          <w:color w:val="525866"/>
          <w:sz w:val="22"/>
        </w:rPr>
        <w:t>Daimler Truck Q2 2026 Preliminary Results &amp; Guidance Raise</w:t>
      </w:r>
      <w:r>
        <w:rPr>
          <w:rFonts w:ascii="Calibri" w:hAnsi="Calibri"/>
          <w:color w:val="525866"/>
          <w:sz w:val="22"/>
        </w:rPr>
        <w:t xml:space="preserve"> — July 22, 2026. Source: https://www.daimlertruck.com/en/newsroom/pressrelease/daimler-truck-holding-ag-raises-full-year-guidance-53547520</w:t>
      </w:r>
    </w:p>
    <w:p>
      <w:pPr>
        <w:pStyle w:val="ListBullet"/>
        <w:ind w:left="360" w:hanging="360"/>
      </w:pPr>
      <w:r>
        <w:rPr>
          <w:rFonts w:ascii="Calibri" w:hAnsi="Calibri"/>
          <w:b/>
          <w:color w:val="525866"/>
          <w:sz w:val="22"/>
        </w:rPr>
        <w:t>Volvo Group Q2 2026 Earnings Report</w:t>
      </w:r>
      <w:r>
        <w:rPr>
          <w:rFonts w:ascii="Calibri" w:hAnsi="Calibri"/>
          <w:color w:val="525866"/>
          <w:sz w:val="22"/>
        </w:rPr>
        <w:t xml:space="preserve"> — July 17, 2026. Source: https://www.volvogroup.com/en/news-and-media/news/2026/jul/volvo-group--the-second-quarter-2026.html</w:t>
      </w:r>
    </w:p>
    <w:p>
      <w:pPr>
        <w:pStyle w:val="ListBullet"/>
        <w:ind w:left="360" w:hanging="360"/>
      </w:pPr>
      <w:r>
        <w:rPr>
          <w:rFonts w:ascii="Calibri" w:hAnsi="Calibri"/>
          <w:b/>
          <w:color w:val="525866"/>
          <w:sz w:val="22"/>
        </w:rPr>
        <w:t>J.B. Hunt Q2 2026 Earnings Release</w:t>
      </w:r>
      <w:r>
        <w:rPr>
          <w:rFonts w:ascii="Calibri" w:hAnsi="Calibri"/>
          <w:color w:val="525866"/>
          <w:sz w:val="22"/>
        </w:rPr>
        <w:t xml:space="preserve"> — July 15, 2026. Source: SEC EDGAR (JBHT 8-K, ex_987956.htm)</w:t>
      </w:r>
    </w:p>
    <w:p>
      <w:pPr>
        <w:pStyle w:val="ListBullet"/>
        <w:ind w:left="360" w:hanging="360"/>
      </w:pPr>
      <w:r>
        <w:rPr>
          <w:rFonts w:ascii="Calibri" w:hAnsi="Calibri"/>
          <w:b/>
          <w:color w:val="525866"/>
          <w:sz w:val="22"/>
        </w:rPr>
        <w:t>SEC EDGAR Form 4 Filings</w:t>
      </w:r>
      <w:r>
        <w:rPr>
          <w:rFonts w:ascii="Calibri" w:hAnsi="Calibri"/>
          <w:color w:val="525866"/>
          <w:sz w:val="22"/>
        </w:rPr>
        <w:t xml:space="preserve"> — PACCAR Inc. (CIK 75362), April 28 – July 27, 2026.</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