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g-earnings-predictions--2026-07-29"/>
    <w:p>
      <w:pPr>
        <w:pStyle w:val="Heading1"/>
      </w:pPr>
      <w:r>
        <w:t xml:space="preserve">PG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EPS (FQ4'26)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~$1.43 vs. cons $1.42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 (FQ4'26)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~2.3% vs. cons 2.1%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gross margin (FQ4'26)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~48.0% vs. cons 48.4%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core EPS growth guide (the swing factor)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~+2-4% (~</w:t>
            </w:r>
            <m:oMath>
              <m:r>
                <m:t>7.00</m:t>
              </m:r>
              <m:r>
                <m:rPr>
                  <m:sty m:val="p"/>
                </m:rPr>
                <m:t>−</m:t>
              </m:r>
              <m:r>
                <m:t>7.15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rPr>
                  <m:sty m:val="p"/>
                </m:rPr>
                <m:t>+</m:t>
              </m:r>
              <m:r>
                <m:t>6</m:t>
              </m:r>
            </m:oMath>
            <w:r>
              <w:t xml:space="preserve">7.25) (FY27)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organic sales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~3-4% vs. cons ~3.5% (FY27)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Updated after-tax cost/oil headwind framing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0.7</m:t>
              </m:r>
              <m:r>
                <m:rPr>
                  <m:sty m:val="p"/>
                </m:rPr>
                <m:t>−</m:t>
              </m:r>
              <m:r>
                <m:t>1.0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t> </m:t>
              </m:r>
            </m:oMath>
            <w:r>
              <w:t xml:space="preserve">1.0B at $100 Brent (FY27)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core EPS (full-year landing)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6.86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6.88, low end of $6.83-7.09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Q4 print is roughly in-line but the make-or-break FY27 EPS guide likely lands below the ~+6% consensus as the ~$1B after-tax cost wave carries into FY27 and productivity 'won't be sufficient' to fully offset. That triggers downward FY27 estimate revisions (implicit cuts) that compound the initial drop; defensive-staple support and subdued positioning cap but don't reverse it, so the negative day-1 move follows through rather than fades.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2026-07-29T00:25:02Z</dcterms:created>
  <dcterms:modified xsi:type="dcterms:W3CDTF">2026-07-29T00:25:02Z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