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PG before writing the preview. Let me start by gathering recent earnings materials, filings, and news.There's a transcript dated 2026-07-23 labeled 2026Q4, but the actual report is tomorrow (7/29) — that's likely a data artifact, so I'll base my preview on the last</w:t>
      </w:r>
      <w:r>
        <w:t xml:space="preserve"> </w:t>
      </w:r>
      <w:r>
        <w:rPr>
          <w:i/>
          <w:iCs/>
        </w:rPr>
        <w:t xml:space="preserve">actually reported</w:t>
      </w:r>
      <w:r>
        <w:t xml:space="preserve"> </w:t>
      </w:r>
      <w:r>
        <w:t xml:space="preserve">quarter (2026Q3) and guidance. Let me read the key documents.Now let me get last year's Q4 (the YoY comp), recent stock price, and the latest news including any leadership/restructuring context.Let me pull the H1 figures (Q2 release) to compute the implied Q4 setup, and check recent news for the CEO transition and any pre-announcement context.Let me quickly grab the Q1 FY26 headline for the year-to-date EPS trajectory.# Procter &amp; Gamble (PG) — Fiscal Q4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29, 2026 (before U.S. open) · Conference call 8:30 a.m. ET</w:t>
      </w:r>
      <w:r>
        <w:t xml:space="preserve"> </w:t>
      </w:r>
      <w:r>
        <w:rPr>
          <w:b/>
          <w:bCs/>
        </w:rPr>
        <w:t xml:space="preserve">Period:</w:t>
      </w:r>
      <w:r>
        <w:t xml:space="preserve"> </w:t>
      </w:r>
      <w:r>
        <w:t xml:space="preserve">Fiscal Q4 2026 (April–June quarter) and full fiscal year 2026</w:t>
      </w:r>
    </w:p>
    <w:p>
      <w:pPr>
        <w:pStyle w:val="BlockText"/>
      </w:pPr>
      <w:r>
        <w:t xml:space="preserve">Note: I based this preview on PG's last</w:t>
      </w:r>
      <w:r>
        <w:t xml:space="preserve"> </w:t>
      </w:r>
      <w:r>
        <w:rPr>
          <w:i/>
          <w:iCs/>
        </w:rPr>
        <w:t xml:space="preserve">actually reported</w:t>
      </w:r>
      <w:r>
        <w:t xml:space="preserve"> </w:t>
      </w:r>
      <w:r>
        <w:t xml:space="preserve">quarter (fiscal Q3 2026, reported April 24, 2026) and management's standing FY26 guidance. A transcript in the database timestamped 7/23/26 appears to be a data artifact and was not used.</w:t>
      </w:r>
    </w:p>
    <w:p>
      <w:r>
        <w:pict>
          <v:rect style="width:0;height:1.5pt" o:hralign="center" o:hrstd="t" o:hr="t"/>
        </w:pict>
      </w:r>
    </w:p>
    <w:bookmarkStart w:id="9" w:name="Xcf602bb59f385f52efb23d9927aeddbbc26ab65"/>
    <w:p>
      <w:pPr>
        <w:pStyle w:val="Heading2"/>
      </w:pPr>
      <w:r>
        <w:t xml:space="preserve">1. The one-line setup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"kitchen-sink" quarter into a make-or-break guidance event.</w:t>
      </w:r>
      <w:r>
        <w:t xml:space="preserve"> </w:t>
      </w:r>
      <w:r>
        <w:t xml:space="preserve">Fiscal Q4 is where the bulk of P&amp;G's ~$1B after-tax cost wave (energy/feedstock/logistics tied to the Middle East conflict, plus tariffs) is expected to land, so the Street is modeling P&amp;G's</w:t>
      </w:r>
      <w:r>
        <w:t xml:space="preserve"> </w:t>
      </w:r>
      <w:r>
        <w:rPr>
          <w:b/>
          <w:bCs/>
        </w:rPr>
        <w:t xml:space="preserve">first year-over-year quarterly EPS decline of FY26</w:t>
      </w:r>
      <w:r>
        <w:t xml:space="preserve">. But the number that actually moves the stock will be the</w:t>
      </w:r>
      <w:r>
        <w:t xml:space="preserve"> </w:t>
      </w:r>
      <w:r>
        <w:rPr>
          <w:b/>
          <w:bCs/>
        </w:rPr>
        <w:t xml:space="preserve">initial fiscal 2027 outlook</w:t>
      </w:r>
      <w:r>
        <w:t xml:space="preserve"> </w:t>
      </w:r>
      <w:r>
        <w:t xml:space="preserve">— the first full-year guide under new CEO Shailesh Jejurikar.</w:t>
      </w:r>
    </w:p>
    <w:p>
      <w:r>
        <w:pict>
          <v:rect style="width:0;height:1.5pt" o:hralign="center" o:hrstd="t" o:hr="t"/>
        </w:pict>
      </w:r>
    </w:p>
    <w:bookmarkEnd w:id="9"/>
    <w:bookmarkStart w:id="10" w:name="Xdd64918224e9e816287a719145e3d95ca3464d6"/>
    <w:p>
      <w:pPr>
        <w:pStyle w:val="Heading2"/>
      </w:pPr>
      <w:r>
        <w:t xml:space="preserve">2. What the Street expects (fiscal Q4)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(per 7/24 street digest)</w:t>
            </w:r>
          </w:p>
        </w:tc>
        <w:tc>
          <w:tcPr/>
          <w:p>
            <w:pPr>
              <w:pStyle w:val="Compact"/>
            </w:pPr>
            <w:r>
              <w:t xml:space="preserve">Q4 FY25 actual (comp)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~2.1%</w:t>
            </w:r>
          </w:p>
        </w:tc>
        <w:tc>
          <w:tcPr/>
          <w:p>
            <w:pPr>
              <w:pStyle w:val="Compact"/>
            </w:pPr>
            <w:r>
              <w:t xml:space="preserve">+2%</w:t>
            </w:r>
          </w:p>
        </w:tc>
        <w:tc>
          <w:tcPr/>
          <w:p>
            <w:pPr>
              <w:pStyle w:val="Compact"/>
            </w:pPr>
            <w:r>
              <w:t xml:space="preserve">Decelerating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~48.4%</w:t>
            </w:r>
          </w:p>
        </w:tc>
        <w:tc>
          <w:tcPr/>
          <w:p>
            <w:pPr>
              <w:pStyle w:val="Compact"/>
            </w:pPr>
            <w:r>
              <w:t xml:space="preserve">49.1% reported / 49.8% core</w:t>
            </w:r>
          </w:p>
        </w:tc>
        <w:tc>
          <w:tcPr/>
          <w:p>
            <w:pPr>
              <w:pStyle w:val="Compact"/>
            </w:pPr>
            <w: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~20%</w:t>
            </w:r>
          </w:p>
        </w:tc>
        <w:tc>
          <w:tcPr/>
          <w:p>
            <w:pPr>
              <w:pStyle w:val="Compact"/>
            </w:pPr>
            <w:r>
              <w:t xml:space="preserve">20.8% reported / 19.3% core</w:t>
            </w:r>
          </w:p>
        </w:tc>
        <w:tc>
          <w:tcPr/>
          <w:p>
            <w:pPr>
              <w:pStyle w:val="Compact"/>
            </w:pPr>
            <w:r>
              <w:t xml:space="preserve">Roughly flat–down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~$1.42</w:t>
            </w:r>
          </w:p>
        </w:tc>
        <w:tc>
          <w:tcPr/>
          <w:p>
            <w:pPr>
              <w:pStyle w:val="Compact"/>
            </w:pPr>
            <w:r>
              <w:t xml:space="preserve">$1.48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 –4%</w:t>
            </w:r>
          </w:p>
        </w:tc>
      </w:tr>
    </w:tbl>
    <w:p>
      <w:pPr>
        <w:pStyle w:val="BodyText"/>
      </w:pPr>
      <w:r>
        <w:rPr>
          <w:b/>
          <w:bCs/>
        </w:rPr>
        <w:t xml:space="preserve">Why EPS is expected to fall:</w:t>
      </w:r>
      <w:r>
        <w:t xml:space="preserve"> </w:t>
      </w:r>
      <w:r>
        <w:t xml:space="preserve">On the Q3 call, CFO Andre Schulten flagged that</w:t>
      </w:r>
      <w:r>
        <w:t xml:space="preserve"> </w:t>
      </w:r>
      <w:r>
        <w:rPr>
          <w:b/>
          <w:bCs/>
        </w:rPr>
        <w:t xml:space="preserve">"almost all"</w:t>
      </w:r>
      <w:r>
        <w:t xml:space="preserve"> </w:t>
      </w:r>
      <w:r>
        <w:t xml:space="preserve">of the newly identified ~</w:t>
      </w:r>
      <m:oMath>
        <m:r>
          <m:t>150</m:t>
        </m:r>
        <m:r>
          <m:t>M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/</m:t>
        </m:r>
        <m:r>
          <m:t>e</m:t>
        </m:r>
        <m:r>
          <m:t>n</m:t>
        </m:r>
        <m:r>
          <m:t>e</m:t>
        </m:r>
        <m:r>
          <m:t>r</m:t>
        </m:r>
        <m:r>
          <m:t>g</m:t>
        </m:r>
        <m:r>
          <m:t>y</m:t>
        </m:r>
        <m:r>
          <m:rPr>
            <m:sty m:val="p"/>
          </m:rPr>
          <m:t>/</m:t>
        </m:r>
        <m:r>
          <m:t>l</m:t>
        </m:r>
        <m:r>
          <m:t>o</m:t>
        </m:r>
        <m:r>
          <m:t>g</m:t>
        </m:r>
        <m:r>
          <m:t>i</m:t>
        </m:r>
        <m:r>
          <m:t>s</m:t>
        </m:r>
        <m:r>
          <m:t>t</m:t>
        </m:r>
        <m:r>
          <m:t>i</m:t>
        </m:r>
        <m:r>
          <m:t>c</m:t>
        </m:r>
        <m:r>
          <m:t>s</m:t>
        </m:r>
        <m:r>
          <m:t>c</m:t>
        </m:r>
        <m:r>
          <m:t>o</m:t>
        </m:r>
        <m:r>
          <m:t>s</m:t>
        </m:r>
        <m:r>
          <m:t>t</m:t>
        </m:r>
        <m:r>
          <m:t>h</m:t>
        </m:r>
        <m:r>
          <m:t>i</m:t>
        </m:r>
        <m:r>
          <m:t>t</m:t>
        </m:r>
        <m:r>
          <m:rPr>
            <m:sty m:val="p"/>
          </m:rPr>
          <m:t>—</m:t>
        </m:r>
        <m:r>
          <m:t>p</m:t>
        </m:r>
        <m:r>
          <m:t>a</m:t>
        </m:r>
        <m:r>
          <m:t>r</m:t>
        </m:r>
        <m:r>
          <m:t>t</m:t>
        </m:r>
        <m:r>
          <m:t>o</m:t>
        </m:r>
        <m:r>
          <m:t>f</m:t>
        </m:r>
        <m:r>
          <m:t>a</m:t>
        </m:r>
        <m:r>
          <m:t>b</m:t>
        </m:r>
        <m:r>
          <m:t>r</m:t>
        </m:r>
        <m:r>
          <m:t>o</m:t>
        </m:r>
        <m:r>
          <m:t>a</m:t>
        </m:r>
        <m:r>
          <m:t>d</m:t>
        </m:r>
        <m:r>
          <m:t>e</m:t>
        </m:r>
        <m:r>
          <m:t>r</m:t>
        </m:r>
        <m:r>
          <m:t> </m:t>
        </m:r>
      </m:oMath>
      <w:r>
        <w:t xml:space="preserve">1B after-tax exposure he sized at $100 Brent — would fall in fiscal Q4, with "little opportunity to create short-term offsets within cost of goods sold." P&amp;G also said it would</w:t>
      </w:r>
      <w:r>
        <w:t xml:space="preserve"> </w:t>
      </w:r>
      <w:r>
        <w:rPr>
          <w:b/>
          <w:bCs/>
        </w:rPr>
        <w:t xml:space="preserve">protect (not cut) demand-creation spending</w:t>
      </w:r>
      <w:r>
        <w:t xml:space="preserve">, so the margin/EPS pressure is deliberate.</w:t>
      </w:r>
    </w:p>
    <w:p>
      <w:r>
        <w:pict>
          <v:rect style="width:0;height:1.5pt" o:hralign="center" o:hrstd="t" o:hr="t"/>
        </w:pict>
      </w:r>
    </w:p>
    <w:bookmarkEnd w:id="10"/>
    <w:bookmarkStart w:id="11" w:name="Xb7ca8dd11ef2ca26d4bd9d468c8d8c35bf9a6b0"/>
    <w:p>
      <w:pPr>
        <w:pStyle w:val="Heading2"/>
      </w:pPr>
      <w:r>
        <w:t xml:space="preserve">3. Full-year math — watch where FY26 lands</w:t>
      </w:r>
    </w:p>
    <w:p>
      <w:pPr>
        <w:pStyle w:val="FirstParagraph"/>
      </w:pPr>
      <w:r>
        <w:t xml:space="preserve">P&amp;G's FY26 core EPS guidance is</w:t>
      </w:r>
      <w:r>
        <w:t xml:space="preserve"> </w:t>
      </w:r>
      <m:oMath>
        <m:r>
          <m:t>6.83</m:t>
        </m:r>
        <m:r>
          <m:rPr>
            <m:sty m:val="p"/>
          </m:rPr>
          <m:t>–</m:t>
        </m:r>
      </m:oMath>
      <w:r>
        <w:rPr>
          <w:b/>
          <w:bCs/>
        </w:rPr>
        <w:t xml:space="preserve">7.09</w:t>
      </w:r>
      <w:r>
        <w:t xml:space="preserve"> </w:t>
      </w:r>
      <w:r>
        <w:t xml:space="preserve">(flat to +4% vs. FY25's $6.83), and in April management said results would land</w:t>
      </w:r>
      <w:r>
        <w:t xml:space="preserve"> </w:t>
      </w:r>
      <w:r>
        <w:rPr>
          <w:b/>
          <w:bCs/>
        </w:rPr>
        <w:t xml:space="preserve">"toward the lower end."</w:t>
      </w:r>
    </w:p>
    <w:p>
      <w:pPr>
        <w:pStyle w:val="BodyText"/>
      </w:pPr>
      <w:r>
        <w:t xml:space="preserve">Year-to-date core EPS:</w:t>
      </w:r>
    </w:p>
    <w:p>
      <w:pPr>
        <w:pStyle w:val="Compact"/>
        <w:numPr>
          <w:ilvl w:val="0"/>
          <w:numId w:val="1001"/>
        </w:numPr>
      </w:pPr>
      <w:r>
        <w:t xml:space="preserve">Q1:</w:t>
      </w:r>
      <w:r>
        <w:t xml:space="preserve"> </w:t>
      </w:r>
      <w:r>
        <w:rPr>
          <w:b/>
          <w:bCs/>
        </w:rPr>
        <w:t xml:space="preserve">$1.99</w:t>
      </w:r>
      <w:r>
        <w:t xml:space="preserve"> </w:t>
      </w:r>
      <w:r>
        <w:t xml:space="preserve">(+3%)</w:t>
      </w:r>
    </w:p>
    <w:p>
      <w:pPr>
        <w:pStyle w:val="Compact"/>
        <w:numPr>
          <w:ilvl w:val="0"/>
          <w:numId w:val="1001"/>
        </w:numPr>
      </w:pPr>
      <w:r>
        <w:t xml:space="preserve">Q2:</w:t>
      </w:r>
      <w:r>
        <w:t xml:space="preserve"> </w:t>
      </w:r>
      <w:r>
        <w:rPr>
          <w:b/>
          <w:bCs/>
        </w:rPr>
        <w:t xml:space="preserve">$1.88</w:t>
      </w:r>
      <w:r>
        <w:t xml:space="preserve"> </w:t>
      </w:r>
      <w:r>
        <w:t xml:space="preserve">(flat)</w:t>
      </w:r>
    </w:p>
    <w:p>
      <w:pPr>
        <w:pStyle w:val="Compact"/>
        <w:numPr>
          <w:ilvl w:val="0"/>
          <w:numId w:val="1001"/>
        </w:numPr>
      </w:pPr>
      <w:r>
        <w:t xml:space="preserve">Q3:</w:t>
      </w:r>
      <w:r>
        <w:t xml:space="preserve"> </w:t>
      </w:r>
      <w:r>
        <w:rPr>
          <w:b/>
          <w:bCs/>
        </w:rPr>
        <w:t xml:space="preserve">$1.59</w:t>
      </w:r>
      <w:r>
        <w:t xml:space="preserve"> </w:t>
      </w:r>
      <w:r>
        <w:t xml:space="preserve">(+3%)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9-month total: $5.46</w:t>
      </w:r>
    </w:p>
    <w:p>
      <w:pPr>
        <w:pStyle w:val="FirstParagraph"/>
      </w:pPr>
      <w:r>
        <w:t xml:space="preserve">That means the implied Q4 core EPS is: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Low end (</w:t>
      </w:r>
      <m:oMath>
        <m:r>
          <m:t>6.83</m:t>
        </m:r>
        <m:r>
          <m:rPr>
            <m:sty m:val="p"/>
          </m:rPr>
          <m:t>)</m:t>
        </m:r>
        <m:r>
          <m:rPr>
            <m:sty m:val="p"/>
          </m:rPr>
          <m:t>:</m:t>
        </m:r>
        <m:r>
          <m:t> </m:t>
        </m:r>
      </m:oMath>
      <w:r>
        <w:rPr>
          <w:b/>
          <w:bCs/>
        </w:rPr>
        <w:t xml:space="preserve">1.37</w:t>
      </w:r>
      <w:r>
        <w:t xml:space="preserve"> </w:t>
      </w:r>
      <w:r>
        <w:t xml:space="preserve">(≈ –7% YoY)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Consensus $1.42 → full year ≈ $6.88</w:t>
      </w:r>
      <w:r>
        <w:t xml:space="preserve"> </w:t>
      </w:r>
      <w:r>
        <w:t xml:space="preserve">(near the floor)</w:t>
      </w:r>
    </w:p>
    <w:p>
      <w:pPr>
        <w:pStyle w:val="Compact"/>
        <w:numPr>
          <w:ilvl w:val="0"/>
          <w:numId w:val="1002"/>
        </w:numPr>
      </w:pPr>
      <w:r>
        <w:t xml:space="preserve">Midpoint (</w:t>
      </w:r>
      <m:oMath>
        <m:r>
          <m:t>6.96</m:t>
        </m:r>
        <m:r>
          <m:rPr>
            <m:sty m:val="p"/>
          </m:rPr>
          <m:t>)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r</m:t>
        </m:r>
        <m:r>
          <m:t>e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 </m:t>
        </m:r>
      </m:oMath>
      <w:r>
        <w:t xml:space="preserve">1.50 in Q4 — likely too high given management's own "lower end" steer.</w:t>
      </w:r>
    </w:p>
    <w:p>
      <w:pPr>
        <w:pStyle w:val="FirstParagraph"/>
      </w:pPr>
      <w:r>
        <w:rPr>
          <w:b/>
          <w:bCs/>
        </w:rPr>
        <w:t xml:space="preserve">Takeaway:</w:t>
      </w:r>
      <w:r>
        <w:t xml:space="preserve"> </w:t>
      </w:r>
      <w:r>
        <w:t xml:space="preserve">A print around</w:t>
      </w:r>
      <w:r>
        <w:t xml:space="preserve"> </w:t>
      </w:r>
      <m:oMath>
        <m:r>
          <m:t>1.40</m:t>
        </m:r>
        <m:r>
          <m:rPr>
            <m:sty m:val="p"/>
          </m:rPr>
          <m:t>–</m:t>
        </m:r>
      </m:oMath>
      <w:r>
        <w:t xml:space="preserve">1.44 with FY26 landing ~</w:t>
      </w:r>
      <m:oMath>
        <m:r>
          <m:t>6.85</m:t>
        </m:r>
        <m:r>
          <m:rPr>
            <m:sty m:val="p"/>
          </m:rPr>
          <m:t>–</m:t>
        </m:r>
      </m:oMath>
      <w:r>
        <w:t xml:space="preserve">6.90 would simply confirm the guided story. The surprise risk is asymmetric — a miss on the cost wave matters less than the</w:t>
      </w:r>
      <w:r>
        <w:t xml:space="preserve"> </w:t>
      </w:r>
      <w:r>
        <w:rPr>
          <w:i/>
          <w:iCs/>
        </w:rPr>
        <w:t xml:space="preserve">forward</w:t>
      </w:r>
      <w:r>
        <w:t xml:space="preserve"> </w:t>
      </w:r>
      <w:r>
        <w:t xml:space="preserve">guide.</w:t>
      </w:r>
    </w:p>
    <w:p>
      <w:r>
        <w:pict>
          <v:rect style="width:0;height:1.5pt" o:hralign="center" o:hrstd="t" o:hr="t"/>
        </w:pict>
      </w:r>
    </w:p>
    <w:bookmarkEnd w:id="11"/>
    <w:bookmarkStart w:id="12" w:name="X58638b5d275b09502f12e733f50ab27facd00ac"/>
    <w:p>
      <w:pPr>
        <w:pStyle w:val="Heading2"/>
      </w:pPr>
      <w:r>
        <w:t xml:space="preserve">4. The real event: first FY27 guidance</w:t>
      </w:r>
    </w:p>
    <w:p>
      <w:pPr>
        <w:pStyle w:val="FirstParagraph"/>
      </w:pPr>
      <w:r>
        <w:t xml:space="preserve">Management explicitly deferred FY27 guidance to this July call. Key questions: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Can P&amp;G still grow EPS in FY27?</w:t>
      </w:r>
      <w:r>
        <w:t xml:space="preserve"> </w:t>
      </w:r>
      <w:r>
        <w:t xml:space="preserve">Schulten said the ~$1B after-tax headwind "is nothing to sneeze at" and that productivity alone likely "won't be sufficient" to offset it — implying</w:t>
      </w:r>
      <w:r>
        <w:t xml:space="preserve"> </w:t>
      </w:r>
      <w:r>
        <w:rPr>
          <w:b/>
          <w:bCs/>
        </w:rPr>
        <w:t xml:space="preserve">selective, innovation-led pricing</w:t>
      </w:r>
      <w:r>
        <w:t xml:space="preserve"> </w:t>
      </w:r>
      <w:r>
        <w:t xml:space="preserve">will be part of the FY27 algorithm. He signaled intent to deliver earnings growth "without sacrificing reinvestment," but called it "a work in progress."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Updated cost/oil framing.</w:t>
      </w:r>
      <w:r>
        <w:t xml:space="preserve"> </w:t>
      </w:r>
      <w:r>
        <w:t xml:space="preserve">The</w:t>
      </w:r>
      <w:r>
        <w:t xml:space="preserve"> </w:t>
      </w:r>
      <m:oMath>
        <m:r>
          <m:t>1</m:t>
        </m:r>
        <m:r>
          <m:t>B</m:t>
        </m:r>
        <m:r>
          <m:t>f</m:t>
        </m:r>
        <m:r>
          <m:t>i</m:t>
        </m:r>
        <m:r>
          <m:t>g</m:t>
        </m:r>
        <m:r>
          <m:t>u</m:t>
        </m:r>
        <m:r>
          <m:t>r</m:t>
        </m:r>
        <m:r>
          <m:t>e</m:t>
        </m:r>
        <m:r>
          <m:t>w</m:t>
        </m:r>
        <m:r>
          <m:t>a</m:t>
        </m:r>
        <m:r>
          <m:t>s</m:t>
        </m:r>
        <m:r>
          <m:t>p</m:t>
        </m:r>
        <m:r>
          <m:t>e</m:t>
        </m:r>
        <m:r>
          <m:t>g</m:t>
        </m:r>
        <m:r>
          <m:t>g</m:t>
        </m:r>
        <m:r>
          <m:t>e</m:t>
        </m:r>
        <m:r>
          <m:t>d</m:t>
        </m:r>
        <m:r>
          <m:t>t</m:t>
        </m:r>
        <m:r>
          <m:t>o</m:t>
        </m:r>
        <m:r>
          <m:t> </m:t>
        </m:r>
      </m:oMath>
      <w:r>
        <w:t xml:space="preserve">100 Brent. Any de-escalation (or further disruption) since April materially changes the setup — watch for a revised number.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Pricing power test.</w:t>
      </w:r>
      <w:r>
        <w:t xml:space="preserve"> </w:t>
      </w:r>
      <w:r>
        <w:t xml:space="preserve">After 5–6 years of cumulative inflation and a stretched, value-seeking ("K-shaped") consumer, the debate is whether staples can still price. P&amp;G's answer is "price</w:t>
      </w:r>
      <w:r>
        <w:t xml:space="preserve"> </w:t>
      </w:r>
      <w:r>
        <w:rPr>
          <w:i/>
          <w:iCs/>
        </w:rPr>
        <w:t xml:space="preserve">with</w:t>
      </w:r>
      <w:r>
        <w:t xml:space="preserve"> </w:t>
      </w:r>
      <w:r>
        <w:t xml:space="preserve">innovation and choice," not across-the-board list hikes.</w:t>
      </w:r>
    </w:p>
    <w:p>
      <w:r>
        <w:pict>
          <v:rect style="width:0;height:1.5pt" o:hralign="center" o:hrstd="t" o:hr="t"/>
        </w:pict>
      </w:r>
    </w:p>
    <w:bookmarkEnd w:id="12"/>
    <w:bookmarkStart w:id="13" w:name="Xb0874d2e3f6845d0ebd91ae41606fa7e970fc19"/>
    <w:p>
      <w:pPr>
        <w:pStyle w:val="Heading2"/>
      </w:pPr>
      <w:r>
        <w:t xml:space="preserve">5. Top-line: is the "ship turning"?</w:t>
      </w:r>
    </w:p>
    <w:p>
      <w:pPr>
        <w:pStyle w:val="FirstParagraph"/>
      </w:pPr>
      <w:r>
        <w:t xml:space="preserve">Q3 was P&amp;G's best quarter of the year — organic sales</w:t>
      </w:r>
      <w:r>
        <w:t xml:space="preserve"> </w:t>
      </w:r>
      <w:r>
        <w:rPr>
          <w:b/>
          <w:bCs/>
        </w:rPr>
        <w:t xml:space="preserve">+3%</w:t>
      </w:r>
      <w:r>
        <w:t xml:space="preserve"> </w:t>
      </w:r>
      <w:r>
        <w:t xml:space="preserve">(a "strong 3%"), with</w:t>
      </w:r>
      <w:r>
        <w:t xml:space="preserve"> </w:t>
      </w:r>
      <w:r>
        <w:rPr>
          <w:b/>
          <w:bCs/>
        </w:rPr>
        <w:t xml:space="preserve">all 10 categories and all 7 regions growing</w:t>
      </w:r>
      <w:r>
        <w:t xml:space="preserve">, and global market share back</w:t>
      </w:r>
      <w:r>
        <w:t xml:space="preserve"> </w:t>
      </w:r>
      <w:r>
        <w:rPr>
          <w:b/>
          <w:bCs/>
        </w:rPr>
        <w:t xml:space="preserve">in line with prior year</w:t>
      </w:r>
      <w:r>
        <w:t xml:space="preserve">. But management guided Q4 organic</w:t>
      </w:r>
      <w:r>
        <w:t xml:space="preserve"> </w:t>
      </w:r>
      <w:r>
        <w:rPr>
          <w:b/>
          <w:bCs/>
        </w:rPr>
        <w:t xml:space="preserve">"somewhat lower than Q3,"</w:t>
      </w:r>
      <w:r>
        <w:t xml:space="preserve"> </w:t>
      </w:r>
      <w:r>
        <w:t xml:space="preserve">largely because ~1 point of growth was</w:t>
      </w:r>
      <w:r>
        <w:t xml:space="preserve"> </w:t>
      </w:r>
      <w:r>
        <w:rPr>
          <w:b/>
          <w:bCs/>
        </w:rPr>
        <w:t xml:space="preserve">pulled forward from Q4 into Q3 on Easter timing / trade inventory</w:t>
      </w:r>
      <w:r>
        <w:t xml:space="preserve">. So ~2% in Q4 is the plan, not a stumble.</w:t>
      </w:r>
    </w:p>
    <w:p>
      <w:pPr>
        <w:pStyle w:val="BodyText"/>
      </w:pPr>
      <w:r>
        <w:t xml:space="preserve">Things to watch by area: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North America</w:t>
      </w:r>
      <w:r>
        <w:t xml:space="preserve"> </w:t>
      </w:r>
      <w:r>
        <w:t xml:space="preserve">(was +4% in Q3) — the key volume engine; watch Tide evo launch traction and the</w:t>
      </w:r>
      <w:r>
        <w:t xml:space="preserve"> </w:t>
      </w:r>
      <w:r>
        <w:rPr>
          <w:b/>
          <w:bCs/>
        </w:rPr>
        <w:t xml:space="preserve">U.S. Baby Care turnaround</w:t>
      </w:r>
      <w:r>
        <w:t xml:space="preserve"> </w:t>
      </w:r>
      <w:r>
        <w:t xml:space="preserve">(the one region losing share).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Greater China</w:t>
      </w:r>
      <w:r>
        <w:t xml:space="preserve"> </w:t>
      </w:r>
      <w:r>
        <w:t xml:space="preserve">(+3%, 3 straight quarters of growth in a weak market) — SK-II (+18%) and Pampers momentum.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Beauty/Personal Care</w:t>
      </w:r>
      <w:r>
        <w:t xml:space="preserve"> </w:t>
      </w:r>
      <w:r>
        <w:t xml:space="preserve">— the standout grower; sustainability of high-single-digit organic.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Enterprise markets</w:t>
      </w:r>
      <w:r>
        <w:t xml:space="preserve"> </w:t>
      </w:r>
      <w:r>
        <w:t xml:space="preserve">(LatAm, Europe EM, AMA all +4–6%) — breadth of the recovery.</w:t>
      </w:r>
    </w:p>
    <w:p>
      <w:r>
        <w:pict>
          <v:rect style="width:0;height:1.5pt" o:hralign="center" o:hrstd="t" o:hr="t"/>
        </w:pict>
      </w:r>
    </w:p>
    <w:bookmarkEnd w:id="13"/>
    <w:bookmarkStart w:id="14" w:name="X1d6c500719f06f2f65d7063fd020e3d9c0d1d56"/>
    <w:p>
      <w:pPr>
        <w:pStyle w:val="Heading2"/>
      </w:pPr>
      <w:r>
        <w:t xml:space="preserve">6. Margins &amp; productivity</w:t>
      </w:r>
    </w:p>
    <w:p>
      <w:pPr>
        <w:pStyle w:val="FirstParagraph"/>
      </w:pPr>
      <w:r>
        <w:t xml:space="preserve">Core gross margin has been down each quarter of FY26 (–50, –50, –100 bps) on</w:t>
      </w:r>
      <w:r>
        <w:t xml:space="preserve"> </w:t>
      </w:r>
      <w:r>
        <w:rPr>
          <w:b/>
          <w:bCs/>
        </w:rPr>
        <w:t xml:space="preserve">unfavorable mix, reinvestment, tariffs and commodities</w:t>
      </w:r>
      <w:r>
        <w:t xml:space="preserve">, only partly offset by strong productivity (~330 bps of gross savings in Q3). Watch:</w:t>
      </w:r>
    </w:p>
    <w:p>
      <w:pPr>
        <w:pStyle w:val="Compact"/>
        <w:numPr>
          <w:ilvl w:val="0"/>
          <w:numId w:val="100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cost wave hitting COGS</w:t>
      </w:r>
      <w:r>
        <w:t xml:space="preserve"> </w:t>
      </w:r>
      <w:r>
        <w:t xml:space="preserve">in Q4 — gross margin could see the largest decline of the year.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Productivity ramp</w:t>
      </w:r>
      <w:r>
        <w:t xml:space="preserve"> </w:t>
      </w:r>
      <w:r>
        <w:t xml:space="preserve">(</w:t>
      </w:r>
      <m:oMath>
        <m:r>
          <m:t>2.0</m:t>
        </m:r>
        <m:r>
          <m:rPr>
            <m:sty m:val="p"/>
          </m:rPr>
          <m:t>–</m:t>
        </m:r>
        <m:r>
          <m:t>2.2</m:t>
        </m:r>
        <m:r>
          <m:t>B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,</m:t>
        </m:r>
        <m:r>
          <m:t> </m:t>
        </m:r>
      </m:oMath>
      <w:r>
        <w:t xml:space="preserve">1.5B in COGS) and</w:t>
      </w:r>
      <w:r>
        <w:t xml:space="preserve"> </w:t>
      </w:r>
      <w:r>
        <w:rPr>
          <w:b/>
          <w:bCs/>
        </w:rPr>
        <w:t xml:space="preserve">Supply Chain 3.0 / automation</w:t>
      </w:r>
      <w:r>
        <w:t xml:space="preserve"> </w:t>
      </w:r>
      <w:r>
        <w:t xml:space="preserve">(unattended shifts now across 9 categories) — the offset story.</w:t>
      </w:r>
    </w:p>
    <w:p>
      <w:pPr>
        <w:pStyle w:val="Compact"/>
        <w:numPr>
          <w:ilvl w:val="0"/>
          <w:numId w:val="1005"/>
        </w:numPr>
      </w:pPr>
      <w:r>
        <w:t xml:space="preserve">Schulten's stance: he "doesn't really care" about the gross-margin line as an outcome, as long as it funds top-line and earnings growth — expect that framing again.</w:t>
      </w:r>
    </w:p>
    <w:p>
      <w:r>
        <w:pict>
          <v:rect style="width:0;height:1.5pt" o:hralign="center" o:hrstd="t" o:hr="t"/>
        </w:pict>
      </w:r>
    </w:p>
    <w:bookmarkEnd w:id="14"/>
    <w:bookmarkStart w:id="15" w:name="X922e8e6afe8faacd2ae2c32e2282a70f97aa161"/>
    <w:p>
      <w:pPr>
        <w:pStyle w:val="Heading2"/>
      </w:pPr>
      <w:r>
        <w:t xml:space="preserve">7. Restructuring, capital return &amp; leadership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Restructuring:</w:t>
      </w:r>
      <w:r>
        <w:t xml:space="preserve"> </w:t>
      </w:r>
      <w:r>
        <w:t xml:space="preserve">The June 2025 portfolio/productivity plan ($1.0–1.6B pretax over two years;</w:t>
      </w:r>
      <w:r>
        <w:t xml:space="preserve"> </w:t>
      </w:r>
      <w:r>
        <w:rPr>
          <w:b/>
          <w:bCs/>
        </w:rPr>
        <w:t xml:space="preserve">up to 7,000 non-manufacturing roles, ~15%</w:t>
      </w:r>
      <w:r>
        <w:t xml:space="preserve">) is reportedly "slightly ahead" of plan, with half the costs to be incurred by end-FY26. Watch for FY27 cost-out targets.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return:</w:t>
      </w:r>
      <w:r>
        <w:t xml:space="preserve"> </w:t>
      </w:r>
      <w:r>
        <w:t xml:space="preserve">FY26 plan is</w:t>
      </w:r>
      <w:r>
        <w:t xml:space="preserve"> </w:t>
      </w:r>
      <w:r>
        <w:rPr>
          <w:b/>
          <w:bCs/>
        </w:rPr>
        <w:t xml:space="preserve">~</w:t>
      </w:r>
      <m:oMath>
        <m:r>
          <m:t>10</m:t>
        </m:r>
        <m:r>
          <m:t>B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rPr>
            <m:sty m:val="p"/>
          </m:rPr>
          <m:t>+</m:t>
        </m:r>
        <m:r>
          <m:t> </m:t>
        </m:r>
      </m:oMath>
      <w:r>
        <w:rPr>
          <w:b/>
          <w:bCs/>
        </w:rPr>
        <w:t xml:space="preserve">5B buybacks (~</w:t>
      </w:r>
      <w:r>
        <w:rPr>
          <w:b/>
          <w:bCs/>
        </w:rPr>
        <w:t xml:space="preserve">$15B total)**. P&amp;G raised its dividend ~3% (the **70th consecutive annual increase**); the new **$</w:t>
      </w:r>
      <w:r>
        <w:rPr>
          <w:b/>
          <w:bCs/>
        </w:rPr>
        <w:t xml:space="preserve">1.0885/quarter</w:t>
      </w:r>
      <w:r>
        <w:t xml:space="preserve"> </w:t>
      </w:r>
      <w:r>
        <w:t xml:space="preserve">rate was declared July 14, 2026 (~2.9% yield). Adjusted FCF productivity target:</w:t>
      </w:r>
      <w:r>
        <w:t xml:space="preserve"> </w:t>
      </w:r>
      <w:r>
        <w:rPr>
          <w:b/>
          <w:bCs/>
        </w:rPr>
        <w:t xml:space="preserve">85–90%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Leadership:</w:t>
      </w:r>
      <w:r>
        <w:t xml:space="preserve"> </w:t>
      </w:r>
      <w:r>
        <w:t xml:space="preserve">This is effectively the</w:t>
      </w:r>
      <w:r>
        <w:t xml:space="preserve"> </w:t>
      </w:r>
      <w:r>
        <w:rPr>
          <w:b/>
          <w:bCs/>
        </w:rPr>
        <w:t xml:space="preserve">first fiscal-year-end report and FY27 guide under CEO Shailesh Jejurikar</w:t>
      </w:r>
      <w:r>
        <w:t xml:space="preserve"> </w:t>
      </w:r>
      <w:r>
        <w:t xml:space="preserve">(Jon Moeller moved to Chairman; the CEO signature changed on the releases between Q1 and Q2 FY26). Expect emphasis on the "reinvent P&amp;G / CPG company of the future" narrative and the "integrated growth strategy."</w:t>
      </w:r>
    </w:p>
    <w:p>
      <w:r>
        <w:pict>
          <v:rect style="width:0;height:1.5pt" o:hralign="center" o:hrstd="t" o:hr="t"/>
        </w:pict>
      </w:r>
    </w:p>
    <w:bookmarkEnd w:id="15"/>
    <w:bookmarkStart w:id="16" w:name="X550b4ecf0521b3a632c4be7234ca8333336e405"/>
    <w:p>
      <w:pPr>
        <w:pStyle w:val="Heading2"/>
      </w:pPr>
      <w:r>
        <w:t xml:space="preserve">8. Stock context &amp; positioning</w:t>
      </w:r>
    </w:p>
    <w:p>
      <w:pPr>
        <w:pStyle w:val="FirstParagraph"/>
      </w:pPr>
      <w:r>
        <w:t xml:space="preserve">PG closed ~</w:t>
      </w:r>
      <m:oMath>
        <m:r>
          <m:t>148.91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28</m:t>
        </m:r>
        <m:r>
          <m:rPr>
            <m:sty m:val="p"/>
          </m:rPr>
          <m:t>/</m:t>
        </m:r>
        <m:r>
          <m:t>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5</m:t>
        </m:r>
      </m:oMath>
      <w:r>
        <w:rPr>
          <w:b/>
          <w:bCs/>
        </w:rPr>
        <w:t xml:space="preserve">167)</w:t>
      </w:r>
      <w:r>
        <w:t xml:space="preserve">, having recovered off ~$138–140 lows earlier in the year. The stock is characterized as a</w:t>
      </w:r>
      <w:r>
        <w:t xml:space="preserve"> </w:t>
      </w:r>
      <w:r>
        <w:rPr>
          <w:b/>
          <w:bCs/>
        </w:rPr>
        <w:t xml:space="preserve">"most-loved name in an out-of-favor group,"</w:t>
      </w:r>
      <w:r>
        <w:t xml:space="preserve"> </w:t>
      </w:r>
      <w:r>
        <w:t xml:space="preserve">reflecting muted top-line and margin pressure across staples. That framing matters: expectations are subdued, so</w:t>
      </w:r>
      <w:r>
        <w:t xml:space="preserve"> </w:t>
      </w:r>
      <w:r>
        <w:rPr>
          <w:b/>
          <w:bCs/>
        </w:rPr>
        <w:t xml:space="preserve">the reaction likely hinges on the FY27 guide and pricing commentary more than the Q4 print itself.</w:t>
      </w:r>
    </w:p>
    <w:p>
      <w:r>
        <w:pict>
          <v:rect style="width:0;height:1.5pt" o:hralign="center" o:hrstd="t" o:hr="t"/>
        </w:pict>
      </w:r>
    </w:p>
    <w:bookmarkEnd w:id="16"/>
    <w:bookmarkStart w:id="17" w:name="X33c4578fde65a8373347de95e54a3506724a97b"/>
    <w:p>
      <w:pPr>
        <w:pStyle w:val="Heading2"/>
      </w:pPr>
      <w:r>
        <w:t xml:space="preserve">9. Bull vs. bear into the print</w:t>
      </w:r>
    </w:p>
    <w:p>
      <w:pPr>
        <w:pStyle w:val="FirstParagraph"/>
      </w:pPr>
      <w:r>
        <w:rPr>
          <w:b/>
          <w:bCs/>
        </w:rPr>
        <w:t xml:space="preserve">Bull case</w:t>
      </w:r>
    </w:p>
    <w:p>
      <w:pPr>
        <w:pStyle w:val="Compact"/>
        <w:numPr>
          <w:ilvl w:val="0"/>
          <w:numId w:val="1007"/>
        </w:numPr>
      </w:pPr>
      <w:r>
        <w:t xml:space="preserve">Q3 acceleration + share recovery proves the innovation-led model is working ("ship turning").</w:t>
      </w:r>
    </w:p>
    <w:p>
      <w:pPr>
        <w:pStyle w:val="Compact"/>
        <w:numPr>
          <w:ilvl w:val="0"/>
          <w:numId w:val="1007"/>
        </w:numPr>
      </w:pPr>
      <w:r>
        <w:t xml:space="preserve">Oil/cost headwind smaller than the $100-Brent scenario → FY27 guide clears the "can they grow EPS?" bar.</w:t>
      </w:r>
    </w:p>
    <w:p>
      <w:pPr>
        <w:pStyle w:val="Compact"/>
        <w:numPr>
          <w:ilvl w:val="0"/>
          <w:numId w:val="1007"/>
        </w:numPr>
      </w:pPr>
      <w:r>
        <w:t xml:space="preserve">Productivity/restructuring gives multi-year margin visibility; defensive, ~2.9% yield, 70 years of dividend growth.</w:t>
      </w:r>
    </w:p>
    <w:p>
      <w:pPr>
        <w:pStyle w:val="FirstParagraph"/>
      </w:pPr>
      <w:r>
        <w:rPr>
          <w:b/>
          <w:bCs/>
        </w:rP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Q4 EPS declines YoY and FY26 lands at the floor; FY27 guided to flat/down EPS as the ~$1B carries over.</w:t>
      </w:r>
    </w:p>
    <w:p>
      <w:pPr>
        <w:pStyle w:val="Compact"/>
        <w:numPr>
          <w:ilvl w:val="0"/>
          <w:numId w:val="1008"/>
        </w:numPr>
      </w:pPr>
      <w:r>
        <w:t xml:space="preserve">Pricing is harder this cycle (stretched consumer, competitive promo creeping back to pre-COVID levels).</w:t>
      </w:r>
    </w:p>
    <w:p>
      <w:pPr>
        <w:pStyle w:val="Compact"/>
        <w:numPr>
          <w:ilvl w:val="0"/>
          <w:numId w:val="1008"/>
        </w:numPr>
      </w:pPr>
      <w:r>
        <w:t xml:space="preserve">Continued gross-margin erosion and heavy reinvestment cap the earnings algorithm; valuation still full for ~2% organic growth.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Expect an in-line-to-slightly-soft Q4 (organic ~2%, core EPS ~$1.42, down YoY) that confirms FY26 lands near the low end. The stock's move should be dominated by</w:t>
      </w:r>
      <w:r>
        <w:t xml:space="preserve"> </w:t>
      </w:r>
      <w:r>
        <w:rPr>
          <w:b/>
          <w:bCs/>
        </w:rPr>
        <w:t xml:space="preserve">(1) the FY27 EPS guide and whether P&amp;G commits to earnings growth, (2) the updated cost/oil headwind, and (3) pricing-power commentary</w:t>
      </w:r>
      <w:r>
        <w:t xml:space="preserve"> </w:t>
      </w:r>
      <w:r>
        <w:t xml:space="preserve">into a value-conscious consumer.</w:t>
      </w:r>
    </w:p>
    <w:p>
      <w:pPr>
        <w:pStyle w:val="BodyText"/>
      </w:pPr>
      <w:r>
        <w:rPr>
          <w:i/>
          <w:iCs/>
        </w:rPr>
        <w:t xml:space="preserve">Key call details: 8:30 a.m. ET, July 29, 2026 — hosted by CFO Andre Schulten (with CEO Shailesh Jejurikar in focus). Watch the prepared remarks for the FY27 framework and the size of the after-tax cost headwind.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2026-07-29T00:25:02Z</dcterms:created>
  <dcterms:modified xsi:type="dcterms:W3CDTF">2026-07-29T00:25:02Z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