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-earnings-predictions--2026-07-29"/>
    <w:p>
      <w:pPr>
        <w:pStyle w:val="Heading1"/>
      </w:pPr>
      <w:r>
        <w:t xml:space="preserve">PG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(Q4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~$1.38 vs. cons $1.41-1.42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(Q4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~2.0% vs. cons 2.1%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(Q4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~47.7% vs. cons 48.4%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Core EPS (initial guide)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~$7.15-7.25 vs. cons $7.05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Organic Sales Growth (initial guide)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~3-5% (mid ~4%) vs. cons ~3%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Tariff/Commodity Headwind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rPr>
                  <m:sty m:val="p"/>
                </m:rPr>
                <m:t>−</m:t>
              </m:r>
              <m:r>
                <m:t>350</m:t>
              </m:r>
              <m:r>
                <m:t>M</m:t>
              </m:r>
              <m:r>
                <m:t>p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x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y</m:t>
              </m:r>
              <m:r>
                <m:t>e</m:t>
              </m:r>
              <m:r>
                <m:t>a</m:t>
              </m:r>
              <m:r>
                <m:t>r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 </m:t>
              </m:r>
            </m:oMath>
            <w:r>
              <w:t xml:space="preserve">500M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Cash Return to Shareowners (FY2027)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≈</m:t>
              </m:r>
            </m:oMath>
            <w:r>
              <w:t xml:space="preserve">10B div + ~</w:t>
            </w:r>
            <m:oMath>
              <m:r>
                <m:t>5</m:t>
              </m:r>
              <m:r>
                <m:t>B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-2.3% (FOLLOW-THROUGH)</w:t>
            </w:r>
          </w:p>
        </w:tc>
        <w:tc>
          <w:tcPr/>
          <w:p>
            <w:pPr>
              <w:pStyle w:val="Compact"/>
            </w:pPr>
            <w:r>
              <w:t xml:space="preserve">Q4 core EPS/margin likely lands at the low end of the pre-flagged range (already partly priced given the stock's YTD underperformance), so the initial reaction should be muted-to-modestly negative. But the real swing factor is the first FY27 algorithm: if management's implied EPS growth (~consensus $7.05, +2-3%) leans on restructuring savings and tariff relief that haven't yet been proven out (commodity/logistics costs from the Middle East conflict were concentrated in Q4 and could linger), sell-side models likely get trimmed over the following days as analysts stress-test the bridge, extending the initial move rather than reversing it. Low starting expectations limit upside surprise potential, so the path of least resistance after a soft print is continued drift lower as numbers get revised.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2026-07-29T00:26:14Z</dcterms:created>
  <dcterms:modified xsi:type="dcterms:W3CDTF">2026-07-29T00:26:14Z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