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-earnings-predictions--2026-07-29"/>
    <w:p>
      <w:pPr>
        <w:pStyle w:val="Heading1"/>
      </w:pPr>
      <w:r>
        <w:t xml:space="preserve">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~1.7% vs. cons 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~$1.40 vs. cons $1.41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gross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~47.8% vs. cons 48.4%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~$6.96 vs. cons $7.03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midpoint ~3.0% vs. cons 3.0%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Core gross-margin change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guide/commentary ~-50 bps YoY vs. cons -20 bps YoY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-3.1% (FOLLOW-THROUGH)</w:t>
            </w:r>
          </w:p>
        </w:tc>
        <w:tc>
          <w:tcPr/>
          <w:p>
            <w:pPr>
              <w:pStyle w:val="Compact"/>
            </w:pPr>
            <w:r>
              <w:t xml:space="preserve">FY2027 core-EPS guidance near $6.96 versus $7.03 consensus and gross-margin commentary near -50 bps versus -20 bps should trigger out-period estimate cuts; a low Q4 bar limits the initial decline, but revisions extend it through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