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X205d61aaf40a065f0fcf302b36f2173b6ff933a"/>
    <w:p>
      <w:pPr>
        <w:pStyle w:val="Heading1"/>
      </w:pPr>
      <w:r>
        <w:t xml:space="preserve">Procter &amp; Gamble FY2026 Q4 Earnings Preview</w:t>
      </w:r>
    </w:p>
    <w:p>
      <w:pPr>
        <w:pStyle w:val="BlockText"/>
      </w:pPr>
      <w:r>
        <w:rPr>
          <w:b/>
          <w:bCs/>
        </w:rPr>
        <w:t xml:space="preserve">Timing clarification:</w:t>
      </w:r>
      <w:r>
        <w:t xml:space="preserve"> </w:t>
      </w:r>
      <w:r>
        <w:t xml:space="preserve">P&amp;G’s official announcement schedules the fiscal fourth-quarter earnings webcast for</w:t>
      </w:r>
      <w:r>
        <w:t xml:space="preserve"> </w:t>
      </w:r>
      <w:r>
        <w:rPr>
          <w:b/>
          <w:bCs/>
        </w:rPr>
        <w:t xml:space="preserve">Wednesday, July 29, 2026, at 8:30 a.m. ET</w:t>
      </w:r>
      <w:r>
        <w:t xml:space="preserve">. Since today is July 29, the report is scheduled for</w:t>
      </w:r>
      <w:r>
        <w:t xml:space="preserve"> </w:t>
      </w:r>
      <w:r>
        <w:rPr>
          <w:b/>
          <w:bCs/>
        </w:rPr>
        <w:t xml:space="preserve">today</w:t>
      </w:r>
      <w:r>
        <w:t xml:space="preserve">, not tomorrow. (</w:t>
      </w:r>
      <w:hyperlink r:id="rId9">
        <w:r>
          <w:rPr>
            <w:rStyle w:val="Hyperlink"/>
          </w:rPr>
          <w:t xml:space="preserve">us.pg.com</w:t>
        </w:r>
      </w:hyperlink>
      <w:r>
        <w:t xml:space="preserve">)</w:t>
      </w:r>
    </w:p>
    <w:p>
      <w:pPr>
        <w:pStyle w:val="BlockText"/>
      </w:pPr>
      <w:r>
        <w:t xml:space="preserve">This preview uses information available before the release, including results through fiscal Q3 and market data through July 28.</w:t>
      </w:r>
    </w:p>
    <w:bookmarkStart w:id="11" w:name="executive-view"/>
    <w:p>
      <w:pPr>
        <w:pStyle w:val="Heading2"/>
      </w:pPr>
      <w:r>
        <w:t xml:space="preserve">Executive view</w:t>
      </w:r>
    </w:p>
    <w:p>
      <w:pPr>
        <w:pStyle w:val="FirstParagraph"/>
      </w:pPr>
      <w:r>
        <w:t xml:space="preserve">This report is less about whether P&amp;G can clear a relatively low fourth-quarter EPS bar and more about</w:t>
      </w:r>
      <w:r>
        <w:t xml:space="preserve"> </w:t>
      </w:r>
      <w:r>
        <w:rPr>
          <w:b/>
          <w:bCs/>
        </w:rPr>
        <w:t xml:space="preserve">whether management can credibly promise earnings growth in fiscal 2027 without sacrificing the investments supporting its recent sales improvement</w:t>
      </w:r>
      <w:r>
        <w:t xml:space="preserve">.</w:t>
      </w:r>
    </w:p>
    <w:p>
      <w:pPr>
        <w:pStyle w:val="BodyText"/>
      </w:pPr>
      <w:r>
        <w:t xml:space="preserve">The operating picture improved materially in fiscal Q3: organic sales rose 3%, volume contributed two points, and every major category and geographic region posted growth. But Q3 also benefited from roughly one point of sales pulled forward from Q4, while tariffs, energy-linked inflation and increased brand spending pressured margins. Management subsequently said full-year EPS would likely finish near the bottom of its range. (</w:t>
      </w:r>
      <w:hyperlink r:id="rId10">
        <w:r>
          <w:rPr>
            <w:rStyle w:val="Hyperlink"/>
          </w:rPr>
          <w:t xml:space="preserve">pginvestor.com</w:t>
        </w:r>
      </w:hyperlink>
      <w:r>
        <w:t xml:space="preserve">)</w:t>
      </w:r>
    </w:p>
    <w:p>
      <w:pPr>
        <w:pStyle w:val="BodyText"/>
      </w:pPr>
      <w:r>
        <w:t xml:space="preserve">The most important items will therefore be: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Underlying volume and market-share momentum after adjusting for timing effects.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Fiscal 2027 guidance</w:t>
      </w:r>
      <w:r>
        <w:t xml:space="preserve">, particularly management’s assumptions for energy, commodities and tariffs.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balance between productivity, pricing and reinvestment.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Evidence that China, Beauty and North American Fabric Care can sustain recent improvement.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Whether cash generation remains strong despite restructuring and higher capital spending.</w:t>
      </w:r>
    </w:p>
    <w:bookmarkEnd w:id="11"/>
    <w:bookmarkStart w:id="13" w:name="expectations-snapshot"/>
    <w:p>
      <w:pPr>
        <w:pStyle w:val="Heading2"/>
      </w:pPr>
      <w:r>
        <w:t xml:space="preserve">Expectations snapshot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Current expectation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Comparison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</w:t>
            </w:r>
            <w:r>
              <w:t xml:space="preserve"> </w:t>
            </w:r>
            <w:r>
              <w:rPr>
                <w:b/>
                <w:bCs/>
              </w:rPr>
              <w:t xml:space="preserve">$21.4 billion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About</w:t>
            </w:r>
            <w:r>
              <w:t xml:space="preserve"> </w:t>
            </w:r>
            <w:r>
              <w:rPr>
                <w:b/>
                <w:bCs/>
              </w:rPr>
              <w:t xml:space="preserve">+2.3% YoY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Core 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</w:t>
            </w:r>
            <w:r>
              <w:t xml:space="preserve"> </w:t>
            </w:r>
            <m:oMath>
              <m:r>
                <m:t>1.41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1.43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Down roughly</w:t>
            </w:r>
            <w:r>
              <w:t xml:space="preserve"> </w:t>
            </w:r>
            <w:r>
              <w:rPr>
                <w:b/>
                <w:bCs/>
              </w:rPr>
              <w:t xml:space="preserve">3%–5% YoY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Organic sales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</w:t>
            </w:r>
            <w:r>
              <w:t xml:space="preserve"> </w:t>
            </w:r>
            <w:r>
              <w:rPr>
                <w:b/>
                <w:bCs/>
              </w:rPr>
              <w:t xml:space="preserve">2.1%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Q3 was +3%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Core gross margin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</w:t>
            </w:r>
            <w:r>
              <w:t xml:space="preserve"> </w:t>
            </w:r>
            <w:r>
              <w:rPr>
                <w:b/>
                <w:bCs/>
              </w:rPr>
              <w:t xml:space="preserve">48.4%–48.9%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Likely down YoY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Core operating margin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</w:t>
            </w:r>
            <w:r>
              <w:t xml:space="preserve"> </w:t>
            </w:r>
            <w:r>
              <w:rPr>
                <w:b/>
                <w:bCs/>
              </w:rPr>
              <w:t xml:space="preserve">20%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Likely down YoY</w:t>
            </w:r>
          </w:p>
        </w:tc>
      </w:tr>
      <w:tr>
        <w:tc>
          <w:tcPr/>
          <w:p>
            <w:pPr>
              <w:pStyle w:val="Compact"/>
            </w:pPr>
            <w:r>
              <w:t xml:space="preserve">FY2026 core 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</w:t>
            </w:r>
            <w:r>
              <w:t xml:space="preserve"> </w:t>
            </w:r>
            <w:r>
              <w:rPr>
                <w:b/>
                <w:bCs/>
              </w:rPr>
              <w:t xml:space="preserve">$6.88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+0.7% versus FY2025</w:t>
            </w:r>
          </w:p>
        </w:tc>
      </w:tr>
      <w:tr>
        <w:tc>
          <w:tcPr/>
          <w:p>
            <w:pPr>
              <w:pStyle w:val="Compact"/>
            </w:pPr>
            <w:r>
              <w:t xml:space="preserve">FY2027 consensus 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</w:t>
            </w:r>
            <w:r>
              <w:t xml:space="preserve"> </w:t>
            </w:r>
            <w:r>
              <w:rPr>
                <w:b/>
                <w:bCs/>
              </w:rPr>
              <w:t xml:space="preserve">$7.03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About +2% versus FY2026 consensus</w:t>
            </w:r>
          </w:p>
        </w:tc>
      </w:tr>
    </w:tbl>
    <w:p>
      <w:pPr>
        <w:pStyle w:val="BodyText"/>
      </w:pPr>
      <w:r>
        <w:t xml:space="preserve">Published estimates vary slightly by provider. Zacks has revenue of approximately $21.4 billion and EPS of $1.41, while other consensus feeds are around</w:t>
      </w:r>
      <w:r>
        <w:t xml:space="preserve"> </w:t>
      </w:r>
      <m:oMath>
        <m:r>
          <m:t>1.42</m:t>
        </m:r>
        <m:r>
          <m:rPr>
            <m:sty m:val="p"/>
          </m:rPr>
          <m:t>–</m:t>
        </m:r>
      </m:oMath>
      <w:r>
        <w:t xml:space="preserve">1.43. (</w:t>
      </w:r>
      <w:hyperlink r:id="rId12">
        <w:r>
          <w:rPr>
            <w:rStyle w:val="Hyperlink"/>
          </w:rPr>
          <w:t xml:space="preserve">zacks.com</w:t>
        </w:r>
      </w:hyperlink>
      <w:r>
        <w:t xml:space="preserve">)</w:t>
      </w:r>
    </w:p>
    <w:p>
      <w:pPr>
        <w:pStyle w:val="BodyText"/>
      </w:pPr>
      <w:r>
        <w:t xml:space="preserve">P&amp;G generated</w:t>
      </w:r>
      <w:r>
        <w:t xml:space="preserve"> </w:t>
      </w:r>
      <w:r>
        <w:rPr>
          <w:b/>
          <w:bCs/>
        </w:rPr>
        <w:t xml:space="preserve">$5.46 of core EPS during the first nine months</w:t>
      </w:r>
      <w:r>
        <w:t xml:space="preserve">, so the current</w:t>
      </w:r>
      <w:r>
        <w:t xml:space="preserve"> </w:t>
      </w:r>
      <m:oMath>
        <m:r>
          <m:t>6.88</m:t>
        </m:r>
        <m:r>
          <m:t>f</m:t>
        </m:r>
        <m:r>
          <m:t>u</m:t>
        </m:r>
        <m:r>
          <m:t>l</m:t>
        </m:r>
        <m:r>
          <m:t>l</m:t>
        </m:r>
        <m:r>
          <m:rPr>
            <m:sty m:val="p"/>
          </m:rPr>
          <m:t>−</m:t>
        </m:r>
        <m:r>
          <m:t>y</m:t>
        </m:r>
        <m:r>
          <m:t>e</m:t>
        </m:r>
        <m:r>
          <m:t>a</m:t>
        </m:r>
        <m:r>
          <m:t>r</m:t>
        </m:r>
        <m:r>
          <m:t>c</m:t>
        </m:r>
        <m:r>
          <m:t>o</m:t>
        </m:r>
        <m:r>
          <m:t>n</m:t>
        </m:r>
        <m:r>
          <m:t>s</m:t>
        </m:r>
        <m:r>
          <m:t>e</m:t>
        </m:r>
        <m:r>
          <m:t>n</m:t>
        </m:r>
        <m:r>
          <m:t>s</m:t>
        </m:r>
        <m:r>
          <m:t>u</m:t>
        </m:r>
        <m:r>
          <m:t>s</m:t>
        </m:r>
        <m:r>
          <m:t>m</m:t>
        </m:r>
        <m:r>
          <m:t>a</m:t>
        </m:r>
        <m:r>
          <m:t>t</m:t>
        </m:r>
        <m:r>
          <m:t>h</m:t>
        </m:r>
        <m:r>
          <m:t>e</m:t>
        </m:r>
        <m:r>
          <m:t>m</m:t>
        </m:r>
        <m:r>
          <m:t>a</m:t>
        </m:r>
        <m:r>
          <m:t>t</m:t>
        </m:r>
        <m:r>
          <m:t>i</m:t>
        </m:r>
        <m:r>
          <m:t>c</m:t>
        </m:r>
        <m:r>
          <m:t>a</m:t>
        </m:r>
        <m:r>
          <m:t>l</m:t>
        </m:r>
        <m:r>
          <m:t>l</m:t>
        </m:r>
        <m:r>
          <m:t>y</m:t>
        </m:r>
        <m:r>
          <m:t>i</m:t>
        </m:r>
        <m:r>
          <m:t>m</m:t>
        </m:r>
        <m:r>
          <m:t>p</m:t>
        </m:r>
        <m:r>
          <m:t>l</m:t>
        </m:r>
        <m:r>
          <m:t>i</m:t>
        </m:r>
        <m:r>
          <m:t>e</m:t>
        </m:r>
        <m:r>
          <m:t>s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x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1.42 in Q4**. That is consistent with management’s prior indication that FY2026 would land near the low end of its</w:t>
      </w:r>
      <w:r>
        <w:t xml:space="preserve"> </w:t>
      </w:r>
      <m:oMath>
        <m:r>
          <m:t>6.83</m:t>
        </m:r>
        <m:r>
          <m:rPr>
            <m:sty m:val="p"/>
          </m:rPr>
          <m:t>–</m:t>
        </m:r>
      </m:oMath>
      <w:r>
        <w:t xml:space="preserve">7.09 core-EPS range.</w:t>
      </w:r>
    </w:p>
    <w:bookmarkEnd w:id="13"/>
    <w:bookmarkStart w:id="14" w:name="the-setup-entering-q4"/>
    <w:p>
      <w:pPr>
        <w:pStyle w:val="Heading2"/>
      </w:pPr>
      <w:r>
        <w:t xml:space="preserve">The setup entering Q4</w:t>
      </w:r>
    </w:p>
    <w:p>
      <w:pPr>
        <w:pStyle w:val="FirstParagraph"/>
      </w:pPr>
      <w:r>
        <w:t xml:space="preserve">Fiscal 2026 has been uneven: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Fiscal quarter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Organic sales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Volume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Core EPS growth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Q1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Flat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+3%</w:t>
            </w:r>
          </w:p>
        </w:tc>
      </w:tr>
      <w:tr>
        <w:tc>
          <w:tcPr/>
          <w:p>
            <w:pPr>
              <w:pStyle w:val="Compact"/>
            </w:pPr>
            <w:r>
              <w:t xml:space="preserve">Q2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Flat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Flat</w:t>
            </w:r>
          </w:p>
        </w:tc>
      </w:tr>
      <w:tr>
        <w:tc>
          <w:tcPr/>
          <w:p>
            <w:pPr>
              <w:pStyle w:val="Compact"/>
            </w:pPr>
            <w:r>
              <w:t xml:space="preserve">Q3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+3%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+3%</w:t>
            </w:r>
          </w:p>
        </w:tc>
      </w:tr>
      <w:tr>
        <w:tc>
          <w:tcPr/>
          <w:p>
            <w:pPr>
              <w:pStyle w:val="Compact"/>
            </w:pPr>
            <w:r>
              <w:t xml:space="preserve">Q4 consensus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About +2%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Not disclosed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Negative YoY</w:t>
            </w:r>
          </w:p>
        </w:tc>
      </w:tr>
    </w:tbl>
    <w:p>
      <w:pPr>
        <w:pStyle w:val="BodyText"/>
      </w:pPr>
      <w:r>
        <w:t xml:space="preserve">The Q3 acceleration was broad rather than concentrated in one business: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Beauty:</w:t>
      </w:r>
      <w:r>
        <w:t xml:space="preserve"> </w:t>
      </w:r>
      <w:r>
        <w:t xml:space="preserve">+7% organic sales, including strong Personal Care and Skin Care.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Fabric &amp; Home Care:</w:t>
      </w:r>
      <w:r>
        <w:t xml:space="preserve"> </w:t>
      </w:r>
      <w:r>
        <w:t xml:space="preserve">+3%, helped by North American Fabric Care volume.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Baby, Feminine &amp; Family Care:</w:t>
      </w:r>
      <w:r>
        <w:t xml:space="preserve"> </w:t>
      </w:r>
      <w:r>
        <w:t xml:space="preserve">+3%, a significant improvement from the 4% decline in Q2.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China:</w:t>
      </w:r>
      <w:r>
        <w:t xml:space="preserve"> </w:t>
      </w:r>
      <w:r>
        <w:t xml:space="preserve">+3%, with SK-II and Baby Care growing at double-digit rates.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North America:</w:t>
      </w:r>
      <w:r>
        <w:t xml:space="preserve"> </w:t>
      </w:r>
      <w:r>
        <w:t xml:space="preserve">+4%, including improved consumption and retail-inventory dynamics.</w:t>
      </w:r>
    </w:p>
    <w:p>
      <w:pPr>
        <w:pStyle w:val="FirstParagraph"/>
      </w:pPr>
      <w:r>
        <w:t xml:space="preserve">However, management estimated that approximately</w:t>
      </w:r>
      <w:r>
        <w:t xml:space="preserve"> </w:t>
      </w:r>
      <w:r>
        <w:rPr>
          <w:b/>
          <w:bCs/>
        </w:rPr>
        <w:t xml:space="preserve">one percentage point of volume shifted from Q4 into Q3</w:t>
      </w:r>
      <w:r>
        <w:t xml:space="preserve">, due primarily to Easter timing, prior-year inventory comparisons and some retailer inventory activity. Consequently, an organic-sales result near 2% may be perfectly acceptable if the underlying consumption and share data remain constructive.</w:t>
      </w:r>
    </w:p>
    <w:bookmarkEnd w:id="14"/>
    <w:bookmarkStart w:id="21" w:name="key-investor-debates"/>
    <w:p>
      <w:pPr>
        <w:pStyle w:val="Heading2"/>
      </w:pPr>
      <w:r>
        <w:t xml:space="preserve">Key investor debates</w:t>
      </w:r>
    </w:p>
    <w:bookmarkStart w:id="15" w:name="X9dc4c19646a28e930b80cba8ffbe6984f05109c"/>
    <w:p>
      <w:pPr>
        <w:pStyle w:val="Heading3"/>
      </w:pPr>
      <w:r>
        <w:t xml:space="preserve">1. Was Q3 the beginning of a durable volume recovery?</w:t>
      </w:r>
    </w:p>
    <w:p>
      <w:pPr>
        <w:pStyle w:val="FirstParagraph"/>
      </w:pPr>
      <w:r>
        <w:t xml:space="preserve">This is the central top-line question.</w:t>
      </w:r>
    </w:p>
    <w:p>
      <w:pPr>
        <w:pStyle w:val="BodyText"/>
      </w:pPr>
      <w:r>
        <w:t xml:space="preserve">P&amp;G’s Q3 volume growth was its best signal of underlying improvement in several quarters. The gains were supported by product interventions such as upgraded Tide liquids, Tide evo, SK-II innovation and improved Beauty execution. Management also said global aggregate market share had returned to roughly flat year over year.</w:t>
      </w:r>
    </w:p>
    <w:p>
      <w:pPr>
        <w:pStyle w:val="BodyText"/>
      </w:pPr>
      <w:r>
        <w:t xml:space="preserve">Investors should distinguish between: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Reported Q4 growth</w:t>
      </w:r>
      <w:r>
        <w:t xml:space="preserve">, which will be affected by the Q3 timing pull-forward; and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Underlying consumption and share</w:t>
      </w:r>
      <w:r>
        <w:t xml:space="preserve">, which better indicate whether P&amp;G’s innovation spending is working.</w:t>
      </w:r>
    </w:p>
    <w:p>
      <w:pPr>
        <w:pStyle w:val="FirstParagraph"/>
      </w:pPr>
      <w:r>
        <w:t xml:space="preserve">A strong report would show positive organic volume despite the timing headwind, or at least stable volume accompanied by improved share. A weak report would show that Q3’s improvement was principally inventory- and comparison-driven.</w:t>
      </w:r>
    </w:p>
    <w:p>
      <w:pPr>
        <w:pStyle w:val="BodyText"/>
      </w:pPr>
      <w:r>
        <w:rPr>
          <w:b/>
          <w:bCs/>
        </w:rPr>
        <w:t xml:space="preserve">Businesses to watch: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Beauty:</w:t>
      </w:r>
      <w:r>
        <w:t xml:space="preserve"> </w:t>
      </w:r>
      <w:r>
        <w:t xml:space="preserve">The strongest segment entering the report. Sustained mid-to-high-single-digit growth would validate recent innovation and marketing investments.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Fabric Care:</w:t>
      </w:r>
      <w:r>
        <w:t xml:space="preserve"> </w:t>
      </w:r>
      <w:r>
        <w:t xml:space="preserve">Tide’s North American momentum is important because this is one of P&amp;G’s largest and most strategically significant businesses.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U.S. Baby Care:</w:t>
      </w:r>
      <w:r>
        <w:t xml:space="preserve"> </w:t>
      </w:r>
      <w:r>
        <w:t xml:space="preserve">Management has acknowledged that performance remains below its expectations despite improving global Baby Care trends.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Grooming and Health Care:</w:t>
      </w:r>
      <w:r>
        <w:t xml:space="preserve"> </w:t>
      </w:r>
      <w:r>
        <w:t xml:space="preserve">Both posted Q3 volume declines, partly offset by pricing and mix.</w:t>
      </w:r>
    </w:p>
    <w:bookmarkEnd w:id="15"/>
    <w:bookmarkStart w:id="17" w:name="Xe38279b95dfe02aaeceb0591cc9320ebf1e5552"/>
    <w:p>
      <w:pPr>
        <w:pStyle w:val="Heading3"/>
      </w:pPr>
      <w:r>
        <w:t xml:space="preserve">2. Fiscal 2027 guidance is likely to drive the stock</w:t>
      </w:r>
    </w:p>
    <w:p>
      <w:pPr>
        <w:pStyle w:val="FirstParagraph"/>
      </w:pPr>
      <w:r>
        <w:t xml:space="preserve">P&amp;G typically provides full-year guidance with its June-quarter results. This year’s outlook is unusually difficult because management is planning against volatile energy prices, tariffs and supply-chain costs.</w:t>
      </w:r>
    </w:p>
    <w:p>
      <w:pPr>
        <w:pStyle w:val="BodyText"/>
      </w:pPr>
      <w:r>
        <w:t xml:space="preserve">On the Q3 call, management estimated that an environment with Brent crude near</w:t>
      </w:r>
      <w:r>
        <w:t xml:space="preserve"> </w:t>
      </w:r>
      <m:oMath>
        <m:r>
          <m:t>100</m:t>
        </m:r>
        <m:r>
          <m:t>p</m:t>
        </m:r>
        <m:r>
          <m:t>e</m:t>
        </m:r>
        <m:r>
          <m:t>r</m:t>
        </m:r>
        <m:r>
          <m:t>b</m:t>
        </m:r>
        <m:r>
          <m:t>a</m:t>
        </m:r>
        <m:r>
          <m:t>r</m:t>
        </m:r>
        <m:r>
          <m:t>r</m:t>
        </m:r>
        <m:r>
          <m:t>e</m:t>
        </m:r>
        <m:r>
          <m:t>l</m:t>
        </m:r>
        <m:r>
          <m:t>c</m:t>
        </m:r>
        <m:r>
          <m:t>o</m:t>
        </m:r>
        <m:r>
          <m:t>u</m:t>
        </m:r>
        <m:r>
          <m:t>l</m:t>
        </m:r>
        <m:r>
          <m:t>d</m:t>
        </m:r>
        <m:r>
          <m:t>c</m:t>
        </m:r>
        <m:r>
          <m:t>r</m:t>
        </m:r>
        <m:r>
          <m:t>e</m:t>
        </m:r>
        <m:r>
          <m:t>a</m:t>
        </m:r>
        <m:r>
          <m:t>t</m:t>
        </m:r>
        <m:r>
          <m:t>e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x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1.3 billion of annual pre-tax cost pressure, or roughly</w:t>
      </w:r>
      <w:r>
        <w:t xml:space="preserve"> </w:t>
      </w:r>
      <m:oMath>
        <m:r>
          <m:t>1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a</m:t>
        </m:r>
        <m:r>
          <m:t>f</m:t>
        </m:r>
        <m:r>
          <m:t>t</m:t>
        </m:r>
        <m:r>
          <m:t>e</m:t>
        </m:r>
        <m:r>
          <m:t>r</m:t>
        </m:r>
        <m:r>
          <m:t>t</m:t>
        </m:r>
        <m:r>
          <m:t>a</m:t>
        </m:r>
        <m:r>
          <m:t>x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c</m:t>
        </m:r>
        <m:r>
          <m:t>o</m:t>
        </m:r>
        <m:r>
          <m:t>m</m:t>
        </m:r>
        <m:r>
          <m:t>p</m:t>
        </m:r>
        <m:r>
          <m:t>a</m:t>
        </m:r>
        <m:r>
          <m:t>r</m:t>
        </m:r>
        <m:r>
          <m:t>e</m:t>
        </m:r>
        <m:r>
          <m:t>d</m:t>
        </m:r>
        <m:r>
          <m:t>w</m:t>
        </m:r>
        <m:r>
          <m:t>i</m:t>
        </m:r>
        <m:r>
          <m:t>t</m:t>
        </m:r>
        <m:r>
          <m:t>h</m:t>
        </m:r>
        <m:r>
          <m:t>p</m:t>
        </m:r>
        <m:r>
          <m:t>r</m:t>
        </m:r>
        <m:r>
          <m:t>e</m:t>
        </m:r>
        <m:r>
          <m:rPr>
            <m:sty m:val="p"/>
          </m:rPr>
          <m:t>−</m:t>
        </m:r>
        <m:r>
          <m:t>c</m:t>
        </m:r>
        <m:r>
          <m:t>o</m:t>
        </m:r>
        <m:r>
          <m:t>n</m:t>
        </m:r>
        <m:r>
          <m:t>f</m:t>
        </m:r>
        <m:r>
          <m:t>l</m:t>
        </m:r>
        <m:r>
          <m:t>i</m:t>
        </m:r>
        <m:r>
          <m:t>c</m:t>
        </m:r>
        <m:r>
          <m:t>t</m:t>
        </m:r>
        <m:r>
          <m:t>o</m:t>
        </m:r>
        <m:r>
          <m:t>i</m:t>
        </m:r>
        <m:r>
          <m:t>l</m:t>
        </m:r>
        <m:r>
          <m:t>p</m:t>
        </m:r>
        <m:r>
          <m:t>r</m:t>
        </m:r>
        <m:r>
          <m:t>i</m:t>
        </m:r>
        <m:r>
          <m:t>c</m:t>
        </m:r>
        <m:r>
          <m:t>e</m:t>
        </m:r>
        <m:r>
          <m:t>s</m:t>
        </m:r>
        <m:r>
          <m:t>i</m:t>
        </m:r>
        <m:r>
          <m:t>n</m:t>
        </m:r>
        <m:r>
          <m:t>t</m:t>
        </m:r>
        <m:r>
          <m:t>h</m:t>
        </m:r>
        <m:r>
          <m:t>e</m:t>
        </m:r>
        <m:r>
          <m:t>m</m:t>
        </m:r>
        <m:r>
          <m:t>i</m:t>
        </m:r>
        <m:r>
          <m:t>d</m:t>
        </m:r>
        <m:r>
          <m:rPr>
            <m:sty m:val="p"/>
          </m:rPr>
          <m:t>−</m:t>
        </m:r>
      </m:oMath>
      <w:r>
        <w:t xml:space="preserve">60s. The exposure extends beyond direct commodities to petrochemical feedstocks, transportation, alternative sourcing, reformulation and higher inventory requirements.</w:t>
      </w:r>
    </w:p>
    <w:p>
      <w:pPr>
        <w:pStyle w:val="BodyText"/>
      </w:pPr>
      <w:r>
        <w:t xml:space="preserve">That creates a difficult fiscal 2027 bridge:</w:t>
      </w:r>
    </w:p>
    <w:p>
      <w:pPr>
        <w:pStyle w:val="BodyText"/>
      </w:pPr>
      <w:r>
        <w:rPr>
          <w:b/>
          <w:bCs/>
        </w:rPr>
        <w:t xml:space="preserve">Potential offsets</w:t>
      </w:r>
    </w:p>
    <w:p>
      <w:pPr>
        <w:pStyle w:val="Compact"/>
        <w:numPr>
          <w:ilvl w:val="0"/>
          <w:numId w:val="1005"/>
        </w:numPr>
      </w:pPr>
      <w:r>
        <w:t xml:space="preserve">Approximately</w:t>
      </w:r>
      <w:r>
        <w:t xml:space="preserve"> </w:t>
      </w:r>
      <m:oMath>
        <m:r>
          <m:t>2.0</m:t>
        </m:r>
        <m:r>
          <m:rPr>
            <m:sty m:val="p"/>
          </m:rPr>
          <m:t>–</m:t>
        </m:r>
      </m:oMath>
      <w:r>
        <w:t xml:space="preserve">2.2 billion of annual gross productivity.</w:t>
      </w:r>
    </w:p>
    <w:p>
      <w:pPr>
        <w:pStyle w:val="Compact"/>
        <w:numPr>
          <w:ilvl w:val="0"/>
          <w:numId w:val="1005"/>
        </w:numPr>
      </w:pPr>
      <w:r>
        <w:t xml:space="preserve">Supply-chain automation and sourcing changes.</w:t>
      </w:r>
    </w:p>
    <w:p>
      <w:pPr>
        <w:pStyle w:val="Compact"/>
        <w:numPr>
          <w:ilvl w:val="0"/>
          <w:numId w:val="1005"/>
        </w:numPr>
      </w:pPr>
      <w:r>
        <w:t xml:space="preserve">Selective pricing tied to product innovation.</w:t>
      </w:r>
    </w:p>
    <w:p>
      <w:pPr>
        <w:pStyle w:val="Compact"/>
        <w:numPr>
          <w:ilvl w:val="0"/>
          <w:numId w:val="1005"/>
        </w:numPr>
      </w:pPr>
      <w:r>
        <w:t xml:space="preserve">Continued share repurchases.</w:t>
      </w:r>
    </w:p>
    <w:p>
      <w:pPr>
        <w:pStyle w:val="Compact"/>
        <w:numPr>
          <w:ilvl w:val="0"/>
          <w:numId w:val="1005"/>
        </w:numPr>
      </w:pPr>
      <w:r>
        <w:t xml:space="preserve">Restructuring benefits.</w:t>
      </w:r>
    </w:p>
    <w:p>
      <w:pPr>
        <w:pStyle w:val="Compact"/>
        <w:numPr>
          <w:ilvl w:val="0"/>
          <w:numId w:val="1005"/>
        </w:numPr>
      </w:pPr>
      <w:r>
        <w:t xml:space="preserve">Potential tariff refunds.</w:t>
      </w:r>
    </w:p>
    <w:p>
      <w:pPr>
        <w:pStyle w:val="FirstParagraph"/>
      </w:pPr>
      <w:r>
        <w:rPr>
          <w:b/>
          <w:bCs/>
        </w:rPr>
        <w:t xml:space="preserve">Likely headwinds</w:t>
      </w:r>
    </w:p>
    <w:p>
      <w:pPr>
        <w:pStyle w:val="Compact"/>
        <w:numPr>
          <w:ilvl w:val="0"/>
          <w:numId w:val="1006"/>
        </w:numPr>
      </w:pPr>
      <w:r>
        <w:t xml:space="preserve">Energy and petrochemical input inflation.</w:t>
      </w:r>
    </w:p>
    <w:p>
      <w:pPr>
        <w:pStyle w:val="Compact"/>
        <w:numPr>
          <w:ilvl w:val="0"/>
          <w:numId w:val="1006"/>
        </w:numPr>
      </w:pPr>
      <w:r>
        <w:t xml:space="preserve">Tariffs.</w:t>
      </w:r>
    </w:p>
    <w:p>
      <w:pPr>
        <w:pStyle w:val="Compact"/>
        <w:numPr>
          <w:ilvl w:val="0"/>
          <w:numId w:val="1006"/>
        </w:numPr>
      </w:pPr>
      <w:r>
        <w:t xml:space="preserve">Higher transportation and logistics costs.</w:t>
      </w:r>
    </w:p>
    <w:p>
      <w:pPr>
        <w:pStyle w:val="Compact"/>
        <w:numPr>
          <w:ilvl w:val="0"/>
          <w:numId w:val="1006"/>
        </w:numPr>
      </w:pPr>
      <w:r>
        <w:t xml:space="preserve">Continued spending on product innovation and demand creation.</w:t>
      </w:r>
    </w:p>
    <w:p>
      <w:pPr>
        <w:pStyle w:val="Compact"/>
        <w:numPr>
          <w:ilvl w:val="0"/>
          <w:numId w:val="1006"/>
        </w:numPr>
      </w:pPr>
      <w:r>
        <w:t xml:space="preserve">A financially constrained consumer.</w:t>
      </w:r>
    </w:p>
    <w:p>
      <w:pPr>
        <w:pStyle w:val="Compact"/>
        <w:numPr>
          <w:ilvl w:val="0"/>
          <w:numId w:val="1006"/>
        </w:numPr>
      </w:pPr>
      <w:r>
        <w:t xml:space="preserve">Potential mix pressure as shoppers seek lower price points.</w:t>
      </w:r>
    </w:p>
    <w:p>
      <w:pPr>
        <w:pStyle w:val="FirstParagraph"/>
      </w:pPr>
      <w:r>
        <w:t xml:space="preserve">The Street currently expects only about</w:t>
      </w:r>
      <w:r>
        <w:t xml:space="preserve"> </w:t>
      </w:r>
      <w:r>
        <w:rPr>
          <w:b/>
          <w:bCs/>
        </w:rPr>
        <w:t xml:space="preserve">2% EPS growth in FY2027</w:t>
      </w:r>
      <w:r>
        <w:t xml:space="preserve">, from roughly $6.88 to $7.03. Some analysts have moved below that level; for example, Bank of America recently reduced its FY2027 estimate to $6.88, citing a near-term mismatch between pricing and oil-related costs. (</w:t>
      </w:r>
      <w:hyperlink r:id="rId16">
        <w:r>
          <w:rPr>
            <w:rStyle w:val="Hyperlink"/>
          </w:rPr>
          <w:t xml:space="preserve">stage.zacks.com</w:t>
        </w:r>
      </w:hyperlink>
      <w:r>
        <w:t xml:space="preserve">)</w:t>
      </w:r>
    </w:p>
    <w:p>
      <w:pPr>
        <w:pStyle w:val="BodyText"/>
      </w:pPr>
      <w:r>
        <w:t xml:space="preserve">That means expectations already incorporate considerable pressure. A guide for</w:t>
      </w:r>
      <w:r>
        <w:t xml:space="preserve"> </w:t>
      </w:r>
      <w:r>
        <w:rPr>
          <w:b/>
          <w:bCs/>
        </w:rPr>
        <w:t xml:space="preserve">positive low-single-digit core EPS growth</w:t>
      </w:r>
      <w:r>
        <w:t xml:space="preserve"> </w:t>
      </w:r>
      <w:r>
        <w:t xml:space="preserve">with credible assumptions could be received reasonably well. A flat-to-down EPS outlook would likely shift attention toward the duration of the margin downturn.</w:t>
      </w:r>
    </w:p>
    <w:bookmarkEnd w:id="17"/>
    <w:bookmarkStart w:id="18" w:name="Xd02808cae6123599c2f388745fa19ea04b45e64"/>
    <w:p>
      <w:pPr>
        <w:pStyle w:val="Heading3"/>
      </w:pPr>
      <w:r>
        <w:t xml:space="preserve">3. Margin quality matters more than an EPS beat</w:t>
      </w:r>
    </w:p>
    <w:p>
      <w:pPr>
        <w:pStyle w:val="FirstParagraph"/>
      </w:pPr>
      <w:r>
        <w:t xml:space="preserve">P&amp;G’s core gross margin fell 100 basis points in Q3. The drivers included:</w:t>
      </w:r>
    </w:p>
    <w:p>
      <w:pPr>
        <w:pStyle w:val="Compact"/>
        <w:numPr>
          <w:ilvl w:val="0"/>
          <w:numId w:val="1007"/>
        </w:numPr>
      </w:pPr>
      <w:r>
        <w:t xml:space="preserve">180 basis points from unfavorable mix.</w:t>
      </w:r>
    </w:p>
    <w:p>
      <w:pPr>
        <w:pStyle w:val="Compact"/>
        <w:numPr>
          <w:ilvl w:val="0"/>
          <w:numId w:val="1007"/>
        </w:numPr>
      </w:pPr>
      <w:r>
        <w:t xml:space="preserve">100 basis points from reinvestment.</w:t>
      </w:r>
    </w:p>
    <w:p>
      <w:pPr>
        <w:pStyle w:val="Compact"/>
        <w:numPr>
          <w:ilvl w:val="0"/>
          <w:numId w:val="1007"/>
        </w:numPr>
      </w:pPr>
      <w:r>
        <w:t xml:space="preserve">50 basis points from tariffs.</w:t>
      </w:r>
    </w:p>
    <w:p>
      <w:pPr>
        <w:pStyle w:val="Compact"/>
        <w:numPr>
          <w:ilvl w:val="0"/>
          <w:numId w:val="1007"/>
        </w:numPr>
      </w:pPr>
      <w:r>
        <w:t xml:space="preserve">10 basis points from commodities.</w:t>
      </w:r>
    </w:p>
    <w:p>
      <w:pPr>
        <w:pStyle w:val="Compact"/>
        <w:numPr>
          <w:ilvl w:val="0"/>
          <w:numId w:val="1007"/>
        </w:numPr>
      </w:pPr>
      <w:r>
        <w:t xml:space="preserve">Partly offset by 210 basis points of gross productivity and 50 basis points of pricing.</w:t>
      </w:r>
    </w:p>
    <w:p>
      <w:pPr>
        <w:pStyle w:val="FirstParagraph"/>
      </w:pPr>
      <w:r>
        <w:t xml:space="preserve">Core operating margin fell 80 basis points despite substantial productivity savings. (</w:t>
      </w:r>
      <w:hyperlink r:id="rId10">
        <w:r>
          <w:rPr>
            <w:rStyle w:val="Hyperlink"/>
          </w:rPr>
          <w:t xml:space="preserve">pginvestor.com</w:t>
        </w:r>
      </w:hyperlink>
      <w:r>
        <w:t xml:space="preserve">)</w:t>
      </w:r>
    </w:p>
    <w:p>
      <w:pPr>
        <w:pStyle w:val="BodyText"/>
      </w:pPr>
      <w:r>
        <w:t xml:space="preserve">This presents an important distinction for investors:</w:t>
      </w:r>
    </w:p>
    <w:p>
      <w:pPr>
        <w:pStyle w:val="Compact"/>
        <w:numPr>
          <w:ilvl w:val="0"/>
          <w:numId w:val="1008"/>
        </w:numPr>
      </w:pPr>
      <w:r>
        <w:t xml:space="preserve">An EPS beat driven by</w:t>
      </w:r>
      <w:r>
        <w:t xml:space="preserve"> </w:t>
      </w:r>
      <w:r>
        <w:rPr>
          <w:b/>
          <w:bCs/>
        </w:rPr>
        <w:t xml:space="preserve">better volume, pricing and productivity</w:t>
      </w:r>
      <w:r>
        <w:t xml:space="preserve"> </w:t>
      </w:r>
      <w:r>
        <w:t xml:space="preserve">would be high quality.</w:t>
      </w:r>
    </w:p>
    <w:p>
      <w:pPr>
        <w:pStyle w:val="Compact"/>
        <w:numPr>
          <w:ilvl w:val="0"/>
          <w:numId w:val="1008"/>
        </w:numPr>
      </w:pPr>
      <w:r>
        <w:t xml:space="preserve">A beat driven by</w:t>
      </w:r>
      <w:r>
        <w:t xml:space="preserve"> </w:t>
      </w:r>
      <w:r>
        <w:rPr>
          <w:b/>
          <w:bCs/>
        </w:rPr>
        <w:t xml:space="preserve">delayed advertising, innovation or trial-building spending</w:t>
      </w:r>
      <w:r>
        <w:t xml:space="preserve"> </w:t>
      </w:r>
      <w:r>
        <w:t xml:space="preserve">would be less encouraging.</w:t>
      </w:r>
    </w:p>
    <w:p>
      <w:pPr>
        <w:pStyle w:val="Compact"/>
        <w:numPr>
          <w:ilvl w:val="0"/>
          <w:numId w:val="1008"/>
        </w:numPr>
      </w:pPr>
      <w:r>
        <w:t xml:space="preserve">A miss accompanied by stronger underlying share and continued strategic investment may be more tolerable if FY2027 guidance remains credible.</w:t>
      </w:r>
    </w:p>
    <w:p>
      <w:pPr>
        <w:pStyle w:val="FirstParagraph"/>
      </w:pPr>
      <w:r>
        <w:t xml:space="preserve">Management has repeatedly said it will not cut support for businesses showing momentum merely to protect near-term margins. The call should reveal whether that commitment can coexist with earnings growth next year.</w:t>
      </w:r>
    </w:p>
    <w:bookmarkEnd w:id="18"/>
    <w:bookmarkStart w:id="19" w:name="Xc9dd167375eceb3bbb948299448b313d165c4c0"/>
    <w:p>
      <w:pPr>
        <w:pStyle w:val="Heading3"/>
      </w:pPr>
      <w:r>
        <w:t xml:space="preserve">4. Pricing power must be earned through innovation</w:t>
      </w:r>
    </w:p>
    <w:p>
      <w:pPr>
        <w:pStyle w:val="FirstParagraph"/>
      </w:pPr>
      <w:r>
        <w:t xml:space="preserve">P&amp;G does not appear to be planning broad, uniform price increases. Management’s preferred approach is selective pricing attached to products with demonstrably better performance.</w:t>
      </w:r>
    </w:p>
    <w:p>
      <w:pPr>
        <w:pStyle w:val="BodyText"/>
      </w:pPr>
      <w:r>
        <w:t xml:space="preserve">This is sensible given cumulative consumer inflation, but it also means cost recovery may take longer than in previous inflationary cycles. Investors should listen for:</w:t>
      </w:r>
    </w:p>
    <w:p>
      <w:pPr>
        <w:pStyle w:val="Compact"/>
        <w:numPr>
          <w:ilvl w:val="0"/>
          <w:numId w:val="1009"/>
        </w:numPr>
      </w:pPr>
      <w:r>
        <w:t xml:space="preserve">The percentage of the portfolio facing pricing actions.</w:t>
      </w:r>
    </w:p>
    <w:p>
      <w:pPr>
        <w:pStyle w:val="Compact"/>
        <w:numPr>
          <w:ilvl w:val="0"/>
          <w:numId w:val="1009"/>
        </w:numPr>
      </w:pPr>
      <w:r>
        <w:t xml:space="preserve">Retailer acceptance and timing.</w:t>
      </w:r>
    </w:p>
    <w:p>
      <w:pPr>
        <w:pStyle w:val="Compact"/>
        <w:numPr>
          <w:ilvl w:val="0"/>
          <w:numId w:val="1009"/>
        </w:numPr>
      </w:pPr>
      <w:r>
        <w:t xml:space="preserve">Initial elasticity.</w:t>
      </w:r>
    </w:p>
    <w:p>
      <w:pPr>
        <w:pStyle w:val="Compact"/>
        <w:numPr>
          <w:ilvl w:val="0"/>
          <w:numId w:val="1009"/>
        </w:numPr>
      </w:pPr>
      <w:r>
        <w:t xml:space="preserve">Whether pricing is concentrated in premium products.</w:t>
      </w:r>
    </w:p>
    <w:p>
      <w:pPr>
        <w:pStyle w:val="Compact"/>
        <w:numPr>
          <w:ilvl w:val="0"/>
          <w:numId w:val="1009"/>
        </w:numPr>
      </w:pPr>
      <w:r>
        <w:t xml:space="preserve">The availability of lower price points for value-sensitive consumers.</w:t>
      </w:r>
    </w:p>
    <w:p>
      <w:pPr>
        <w:pStyle w:val="Compact"/>
        <w:numPr>
          <w:ilvl w:val="0"/>
          <w:numId w:val="1009"/>
        </w:numPr>
      </w:pPr>
      <w:r>
        <w:t xml:space="preserve">Changes in promotional activity in North America and Europe.</w:t>
      </w:r>
    </w:p>
    <w:p>
      <w:pPr>
        <w:pStyle w:val="FirstParagraph"/>
      </w:pPr>
      <w:r>
        <w:t xml:space="preserve">The ideal outcome is positive pricing without a return to material volume declines. If pricing rises but volume turns negative, the market may question the durability of organic growth.</w:t>
      </w:r>
    </w:p>
    <w:bookmarkEnd w:id="19"/>
    <w:bookmarkStart w:id="20" w:name="X88ab51980076f0726c841f9170814c9eba1d81d"/>
    <w:p>
      <w:pPr>
        <w:pStyle w:val="Heading3"/>
      </w:pPr>
      <w:r>
        <w:t xml:space="preserve">5. China has become an upside opportunity—but remains volatile</w:t>
      </w:r>
    </w:p>
    <w:p>
      <w:pPr>
        <w:pStyle w:val="FirstParagraph"/>
      </w:pPr>
      <w:r>
        <w:t xml:space="preserve">Greater China grew 3% organically in Q3 despite a difficult local category environment. SK-II grew strongly, while China Baby Care also posted substantial gains.</w:t>
      </w:r>
    </w:p>
    <w:p>
      <w:pPr>
        <w:pStyle w:val="BodyText"/>
      </w:pPr>
      <w:r>
        <w:t xml:space="preserve">The improvement appears to reflect changes in product innovation, digital marketing and channel execution rather than broad market recovery. That is encouraging because it implies company-specific share gains, but it also makes execution critical.</w:t>
      </w:r>
    </w:p>
    <w:p>
      <w:pPr>
        <w:pStyle w:val="BodyText"/>
      </w:pPr>
      <w:r>
        <w:t xml:space="preserve">Investors should watch:</w:t>
      </w:r>
    </w:p>
    <w:p>
      <w:pPr>
        <w:pStyle w:val="Compact"/>
        <w:numPr>
          <w:ilvl w:val="0"/>
          <w:numId w:val="1010"/>
        </w:numPr>
      </w:pPr>
      <w:r>
        <w:t xml:space="preserve">SK-II growth and travel-retail trends.</w:t>
      </w:r>
    </w:p>
    <w:p>
      <w:pPr>
        <w:pStyle w:val="Compact"/>
        <w:numPr>
          <w:ilvl w:val="0"/>
          <w:numId w:val="1010"/>
        </w:numPr>
      </w:pPr>
      <w:r>
        <w:t xml:space="preserve">Baby Care share gains.</w:t>
      </w:r>
    </w:p>
    <w:p>
      <w:pPr>
        <w:pStyle w:val="Compact"/>
        <w:numPr>
          <w:ilvl w:val="0"/>
          <w:numId w:val="1010"/>
        </w:numPr>
      </w:pPr>
      <w:r>
        <w:t xml:space="preserve">Performance in online and Douyin channels.</w:t>
      </w:r>
    </w:p>
    <w:p>
      <w:pPr>
        <w:pStyle w:val="Compact"/>
        <w:numPr>
          <w:ilvl w:val="0"/>
          <w:numId w:val="1010"/>
        </w:numPr>
      </w:pPr>
      <w:r>
        <w:t xml:space="preserve">Whether growth expands beyond the businesses already improving.</w:t>
      </w:r>
    </w:p>
    <w:p>
      <w:pPr>
        <w:pStyle w:val="Compact"/>
        <w:numPr>
          <w:ilvl w:val="0"/>
          <w:numId w:val="1010"/>
        </w:numPr>
      </w:pPr>
      <w:r>
        <w:t xml:space="preserve">Management’s view of Chinese consumer confidence.</w:t>
      </w:r>
    </w:p>
    <w:p>
      <w:pPr>
        <w:pStyle w:val="FirstParagraph"/>
      </w:pPr>
      <w:r>
        <w:t xml:space="preserve">Continued low-to-mid-single-digit China growth would be a positive differentiator. A sharp reversal would raise questions about how repeatable the Q3 gains were.</w:t>
      </w:r>
    </w:p>
    <w:bookmarkEnd w:id="20"/>
    <w:bookmarkEnd w:id="21"/>
    <w:bookmarkStart w:id="22" w:name="X2eeb2aeb25c79ccd1ac86ec39c530b38012dff4"/>
    <w:p>
      <w:pPr>
        <w:pStyle w:val="Heading2"/>
      </w:pPr>
      <w:r>
        <w:t xml:space="preserve">Cash flow, restructuring and shareholder returns</w:t>
      </w:r>
    </w:p>
    <w:p>
      <w:pPr>
        <w:pStyle w:val="FirstParagraph"/>
      </w:pPr>
      <w:r>
        <w:t xml:space="preserve">P&amp;G entered Q4 targeting: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85%–90% adjusted free-cash-flow productivity.</w:t>
      </w:r>
    </w:p>
    <w:p>
      <w:pPr>
        <w:pStyle w:val="Compact"/>
        <w:numPr>
          <w:ilvl w:val="0"/>
          <w:numId w:val="1011"/>
        </w:numPr>
      </w:pPr>
      <w:r>
        <w:t xml:space="preserve">Approximately</w:t>
      </w:r>
      <w:r>
        <w:t xml:space="preserve"> </w:t>
      </w:r>
      <w:r>
        <w:rPr>
          <w:b/>
          <w:bCs/>
        </w:rPr>
        <w:t xml:space="preserve">$10 billion of dividends</w:t>
      </w:r>
      <w:r>
        <w:t xml:space="preserve"> </w:t>
      </w:r>
      <w:r>
        <w:t xml:space="preserve">in FY2026.</w:t>
      </w:r>
    </w:p>
    <w:p>
      <w:pPr>
        <w:pStyle w:val="Compact"/>
        <w:numPr>
          <w:ilvl w:val="0"/>
          <w:numId w:val="1011"/>
        </w:numPr>
      </w:pPr>
      <w:r>
        <w:t xml:space="preserve">Approximately</w:t>
      </w:r>
      <w:r>
        <w:t xml:space="preserve"> </w:t>
      </w:r>
      <w:r>
        <w:rPr>
          <w:b/>
          <w:bCs/>
        </w:rPr>
        <w:t xml:space="preserve">$5 billion of share repurchases</w:t>
      </w:r>
      <w:r>
        <w:t xml:space="preserve">.</w:t>
      </w:r>
    </w:p>
    <w:p>
      <w:pPr>
        <w:pStyle w:val="Compact"/>
        <w:numPr>
          <w:ilvl w:val="0"/>
          <w:numId w:val="1011"/>
        </w:numPr>
      </w:pPr>
      <w:r>
        <w:t xml:space="preserve">Capital spending equal to roughly</w:t>
      </w:r>
      <w:r>
        <w:t xml:space="preserve"> </w:t>
      </w:r>
      <w:r>
        <w:rPr>
          <w:b/>
          <w:bCs/>
        </w:rPr>
        <w:t xml:space="preserve">4%–5% of sales</w:t>
      </w:r>
      <w:r>
        <w:t xml:space="preserve">.</w:t>
      </w:r>
    </w:p>
    <w:p>
      <w:pPr>
        <w:pStyle w:val="FirstParagraph"/>
      </w:pPr>
      <w:r>
        <w:t xml:space="preserve">Cash conversion was 82% in Q3 and 88% in Q2, after a stronger Q1. Higher capital spending, restructuring cash costs and inventory requirements are important variables for the full-year result.</w:t>
      </w:r>
    </w:p>
    <w:p>
      <w:pPr>
        <w:pStyle w:val="BodyText"/>
      </w:pPr>
      <w:r>
        <w:t xml:space="preserve">The company is also executing a restructuring program intended to reduce nonmanufacturing headcount by approximately</w:t>
      </w:r>
      <w:r>
        <w:t xml:space="preserve"> </w:t>
      </w:r>
      <w:r>
        <w:rPr>
          <w:b/>
          <w:bCs/>
        </w:rPr>
        <w:t xml:space="preserve">15% over two years</w:t>
      </w:r>
      <w:r>
        <w:t xml:space="preserve">, simplify the portfolio and move decision-making closer to consumers. Investors should look for quantified savings, timing and any increase in restructuring charges.</w:t>
      </w:r>
    </w:p>
    <w:p>
      <w:pPr>
        <w:pStyle w:val="BodyText"/>
      </w:pPr>
      <w:r>
        <w:t xml:space="preserve">P&amp;G recently declared a quarterly dividend of</w:t>
      </w:r>
      <w:r>
        <w:t xml:space="preserve"> </w:t>
      </w:r>
      <w:r>
        <w:rPr>
          <w:b/>
          <w:bCs/>
        </w:rPr>
        <w:t xml:space="preserve">$1.0885 per share</w:t>
      </w:r>
      <w:r>
        <w:t xml:space="preserve">, marking its 70th consecutive annual dividend increase. At the July 28 closing price, that equates to an annualized yield of approximately</w:t>
      </w:r>
      <w:r>
        <w:t xml:space="preserve"> </w:t>
      </w:r>
      <w:r>
        <w:rPr>
          <w:b/>
          <w:bCs/>
        </w:rPr>
        <w:t xml:space="preserve">2.9%</w:t>
      </w:r>
      <w:r>
        <w:t xml:space="preserve">.</w:t>
      </w:r>
    </w:p>
    <w:bookmarkEnd w:id="22"/>
    <w:bookmarkStart w:id="23" w:name="valuation-and-stock-setup"/>
    <w:p>
      <w:pPr>
        <w:pStyle w:val="Heading2"/>
      </w:pPr>
      <w:r>
        <w:t xml:space="preserve">Valuation and stock setup</w:t>
      </w:r>
    </w:p>
    <w:p>
      <w:pPr>
        <w:pStyle w:val="FirstParagraph"/>
      </w:pPr>
      <w:r>
        <w:t xml:space="preserve">PG closed July 28 at</w:t>
      </w:r>
      <w:r>
        <w:t xml:space="preserve"> </w:t>
      </w:r>
      <w:r>
        <w:rPr>
          <w:b/>
          <w:bCs/>
        </w:rPr>
        <w:t xml:space="preserve">$148.91</w:t>
      </w:r>
      <w:r>
        <w:t xml:space="preserve">. At that price:</w:t>
      </w:r>
    </w:p>
    <w:p>
      <w:pPr>
        <w:pStyle w:val="Compact"/>
        <w:numPr>
          <w:ilvl w:val="0"/>
          <w:numId w:val="1012"/>
        </w:numPr>
      </w:pPr>
      <w:r>
        <w:t xml:space="preserve">The stock is down approximately</w:t>
      </w:r>
      <w:r>
        <w:t xml:space="preserve"> </w:t>
      </w:r>
      <w:r>
        <w:rPr>
          <w:b/>
          <w:bCs/>
        </w:rPr>
        <w:t xml:space="preserve">5% over the past year</w:t>
      </w:r>
      <w:r>
        <w:t xml:space="preserve">.</w:t>
      </w:r>
    </w:p>
    <w:p>
      <w:pPr>
        <w:pStyle w:val="Compact"/>
        <w:numPr>
          <w:ilvl w:val="0"/>
          <w:numId w:val="1012"/>
        </w:numPr>
      </w:pPr>
      <w:r>
        <w:t xml:space="preserve">It is about</w:t>
      </w:r>
      <w:r>
        <w:t xml:space="preserve"> </w:t>
      </w:r>
      <w:r>
        <w:rPr>
          <w:b/>
          <w:bCs/>
        </w:rPr>
        <w:t xml:space="preserve">11% below its February 2026 high</w:t>
      </w:r>
      <w:r>
        <w:t xml:space="preserve">.</w:t>
      </w:r>
    </w:p>
    <w:p>
      <w:pPr>
        <w:pStyle w:val="Compact"/>
        <w:numPr>
          <w:ilvl w:val="0"/>
          <w:numId w:val="1012"/>
        </w:numPr>
      </w:pPr>
      <w:r>
        <w:t xml:space="preserve">It trades at approximately</w:t>
      </w:r>
      <w:r>
        <w:t xml:space="preserve"> </w:t>
      </w:r>
      <w:r>
        <w:rPr>
          <w:b/>
          <w:bCs/>
        </w:rPr>
        <w:t xml:space="preserve">21.2 times FY2027 consensus EPS</w:t>
      </w:r>
      <w:r>
        <w:t xml:space="preserve"> </w:t>
      </w:r>
      <w:r>
        <w:t xml:space="preserve">of $7.03.</w:t>
      </w:r>
    </w:p>
    <w:p>
      <w:pPr>
        <w:pStyle w:val="Compact"/>
        <w:numPr>
          <w:ilvl w:val="0"/>
          <w:numId w:val="1012"/>
        </w:numPr>
      </w:pPr>
      <w:r>
        <w:t xml:space="preserve">The annualized dividend yield is approximately</w:t>
      </w:r>
      <w:r>
        <w:t xml:space="preserve"> </w:t>
      </w:r>
      <w:r>
        <w:rPr>
          <w:b/>
          <w:bCs/>
        </w:rPr>
        <w:t xml:space="preserve">2.9%</w:t>
      </w:r>
      <w:r>
        <w:t xml:space="preserve">.</w:t>
      </w:r>
    </w:p>
    <w:p>
      <w:pPr>
        <w:pStyle w:val="FirstParagraph"/>
      </w:pPr>
      <w:r>
        <w:t xml:space="preserve">The valuation is not extreme for a defensive, high-quality consumer-staples company, but it still assumes that P&amp;G can deliver at least modest earnings growth and protect long-term brand economics.</w:t>
      </w:r>
    </w:p>
    <w:p>
      <w:pPr>
        <w:pStyle w:val="BodyText"/>
      </w:pPr>
      <w:r>
        <w:t xml:space="preserve">With FY2027 consensus growth at only about 2%, the setup is not especially demanding. However, the stock likely needs more than a small Q4 EPS beat: investors will want proof that volume momentum can survive pricing and that productivity can prevent an extended margin decline.</w:t>
      </w:r>
    </w:p>
    <w:bookmarkEnd w:id="23"/>
    <w:bookmarkStart w:id="27" w:name="scenario-framework"/>
    <w:p>
      <w:pPr>
        <w:pStyle w:val="Heading2"/>
      </w:pPr>
      <w:r>
        <w:t xml:space="preserve">Scenario framework</w:t>
      </w:r>
    </w:p>
    <w:bookmarkStart w:id="24" w:name="bull-case"/>
    <w:p>
      <w:pPr>
        <w:pStyle w:val="Heading3"/>
      </w:pPr>
      <w:r>
        <w:t xml:space="preserve">Bull case</w:t>
      </w:r>
    </w:p>
    <w:p>
      <w:pPr>
        <w:pStyle w:val="Compact"/>
        <w:numPr>
          <w:ilvl w:val="0"/>
          <w:numId w:val="1013"/>
        </w:numPr>
      </w:pPr>
      <w:r>
        <w:t xml:space="preserve">Organic sales growth of</w:t>
      </w:r>
      <w:r>
        <w:t xml:space="preserve"> </w:t>
      </w:r>
      <w:r>
        <w:rPr>
          <w:b/>
          <w:bCs/>
        </w:rPr>
        <w:t xml:space="preserve">3% or better</w:t>
      </w:r>
      <w:r>
        <w:t xml:space="preserve">.</w:t>
      </w:r>
    </w:p>
    <w:p>
      <w:pPr>
        <w:pStyle w:val="Compact"/>
        <w:numPr>
          <w:ilvl w:val="0"/>
          <w:numId w:val="1013"/>
        </w:numPr>
      </w:pPr>
      <w:r>
        <w:t xml:space="preserve">Positive volume despite the inventory timing headwind.</w:t>
      </w:r>
    </w:p>
    <w:p>
      <w:pPr>
        <w:pStyle w:val="Compact"/>
        <w:numPr>
          <w:ilvl w:val="0"/>
          <w:numId w:val="1013"/>
        </w:numPr>
      </w:pPr>
      <w:r>
        <w:t xml:space="preserve">Continued strength in Beauty, China and North American Fabric Care.</w:t>
      </w:r>
    </w:p>
    <w:p>
      <w:pPr>
        <w:pStyle w:val="Compact"/>
        <w:numPr>
          <w:ilvl w:val="0"/>
          <w:numId w:val="1013"/>
        </w:numPr>
      </w:pPr>
      <w:r>
        <w:t xml:space="preserve">Gross-margin pressure less severe than feared.</w:t>
      </w:r>
    </w:p>
    <w:p>
      <w:pPr>
        <w:pStyle w:val="Compact"/>
        <w:numPr>
          <w:ilvl w:val="0"/>
          <w:numId w:val="1013"/>
        </w:numPr>
      </w:pPr>
      <w:r>
        <w:t xml:space="preserve">FY2027 guidance for organic growth around the company’s long-term algorithm and positive core-EPS growth.</w:t>
      </w:r>
    </w:p>
    <w:p>
      <w:pPr>
        <w:pStyle w:val="Compact"/>
        <w:numPr>
          <w:ilvl w:val="0"/>
          <w:numId w:val="1013"/>
        </w:numPr>
      </w:pPr>
      <w:r>
        <w:t xml:space="preserve">Productivity, restructuring and selective pricing substantially offset inflation.</w:t>
      </w:r>
    </w:p>
    <w:p>
      <w:pPr>
        <w:pStyle w:val="Compact"/>
        <w:numPr>
          <w:ilvl w:val="0"/>
          <w:numId w:val="1013"/>
        </w:numPr>
      </w:pPr>
      <w:r>
        <w:t xml:space="preserve">Free-cash-flow productivity remains near 90%.</w:t>
      </w:r>
    </w:p>
    <w:p>
      <w:pPr>
        <w:pStyle w:val="FirstParagraph"/>
      </w:pPr>
      <w:r>
        <w:rPr>
          <w:b/>
          <w:bCs/>
        </w:rPr>
        <w:t xml:space="preserve">Interpretation:</w:t>
      </w:r>
      <w:r>
        <w:t xml:space="preserve"> </w:t>
      </w:r>
      <w:r>
        <w:t xml:space="preserve">Q3’s acceleration was real, and P&amp;G can absorb the cost shock without interrupting its balanced-growth model.</w:t>
      </w:r>
    </w:p>
    <w:bookmarkEnd w:id="24"/>
    <w:bookmarkStart w:id="25" w:name="base-case"/>
    <w:p>
      <w:pPr>
        <w:pStyle w:val="Heading3"/>
      </w:pPr>
      <w:r>
        <w:t xml:space="preserve">Base case</w:t>
      </w:r>
    </w:p>
    <w:p>
      <w:pPr>
        <w:pStyle w:val="Compact"/>
        <w:numPr>
          <w:ilvl w:val="0"/>
          <w:numId w:val="1014"/>
        </w:numPr>
      </w:pPr>
      <w:r>
        <w:t xml:space="preserve">Organic sales growth around</w:t>
      </w:r>
      <w:r>
        <w:t xml:space="preserve"> </w:t>
      </w:r>
      <w:r>
        <w:rPr>
          <w:b/>
          <w:bCs/>
        </w:rPr>
        <w:t xml:space="preserve">2%</w:t>
      </w:r>
      <w:r>
        <w:t xml:space="preserve">.</w:t>
      </w:r>
    </w:p>
    <w:p>
      <w:pPr>
        <w:pStyle w:val="Compact"/>
        <w:numPr>
          <w:ilvl w:val="0"/>
          <w:numId w:val="1014"/>
        </w:numPr>
      </w:pPr>
      <w:r>
        <w:t xml:space="preserve">EPS close to</w:t>
      </w:r>
      <w:r>
        <w:t xml:space="preserve"> </w:t>
      </w:r>
      <w:r>
        <w:rPr>
          <w:b/>
          <w:bCs/>
        </w:rPr>
        <w:t xml:space="preserve">$1.42</w:t>
      </w:r>
      <w:r>
        <w:t xml:space="preserve">.</w:t>
      </w:r>
    </w:p>
    <w:p>
      <w:pPr>
        <w:pStyle w:val="Compact"/>
        <w:numPr>
          <w:ilvl w:val="0"/>
          <w:numId w:val="1014"/>
        </w:numPr>
      </w:pPr>
      <w:r>
        <w:t xml:space="preserve">Volume approximately flat, with timing effects obscuring modest underlying improvement.</w:t>
      </w:r>
    </w:p>
    <w:p>
      <w:pPr>
        <w:pStyle w:val="Compact"/>
        <w:numPr>
          <w:ilvl w:val="0"/>
          <w:numId w:val="1014"/>
        </w:numPr>
      </w:pPr>
      <w:r>
        <w:t xml:space="preserve">Q4 margins down due to tariffs, energy and reinvestment.</w:t>
      </w:r>
    </w:p>
    <w:p>
      <w:pPr>
        <w:pStyle w:val="Compact"/>
        <w:numPr>
          <w:ilvl w:val="0"/>
          <w:numId w:val="1014"/>
        </w:numPr>
      </w:pPr>
      <w:r>
        <w:t xml:space="preserve">FY2027 organic sales guidance remains positive, but core-EPS growth is limited to low single digits.</w:t>
      </w:r>
    </w:p>
    <w:p>
      <w:pPr>
        <w:pStyle w:val="Compact"/>
        <w:numPr>
          <w:ilvl w:val="0"/>
          <w:numId w:val="1014"/>
        </w:numPr>
      </w:pPr>
      <w:r>
        <w:t xml:space="preserve">Margin pressure is concentrated in the first half of FY2027.</w:t>
      </w:r>
    </w:p>
    <w:p>
      <w:pPr>
        <w:pStyle w:val="FirstParagraph"/>
      </w:pPr>
      <w:r>
        <w:rPr>
          <w:b/>
          <w:bCs/>
        </w:rPr>
        <w:t xml:space="preserve">Interpretation:</w:t>
      </w:r>
      <w:r>
        <w:t xml:space="preserve"> </w:t>
      </w:r>
      <w:r>
        <w:t xml:space="preserve">The business is improving, but earnings recovery will be gradual.</w:t>
      </w:r>
    </w:p>
    <w:bookmarkEnd w:id="25"/>
    <w:bookmarkStart w:id="26" w:name="bear-case"/>
    <w:p>
      <w:pPr>
        <w:pStyle w:val="Heading3"/>
      </w:pPr>
      <w:r>
        <w:t xml:space="preserve">Bear case</w:t>
      </w:r>
    </w:p>
    <w:p>
      <w:pPr>
        <w:pStyle w:val="Compact"/>
        <w:numPr>
          <w:ilvl w:val="0"/>
          <w:numId w:val="1015"/>
        </w:numPr>
      </w:pPr>
      <w:r>
        <w:t xml:space="preserve">Organic sales growth of</w:t>
      </w:r>
      <w:r>
        <w:t xml:space="preserve"> </w:t>
      </w:r>
      <w:r>
        <w:rPr>
          <w:b/>
          <w:bCs/>
        </w:rPr>
        <w:t xml:space="preserve">1% or less</w:t>
      </w:r>
      <w:r>
        <w:t xml:space="preserve">.</w:t>
      </w:r>
    </w:p>
    <w:p>
      <w:pPr>
        <w:pStyle w:val="Compact"/>
        <w:numPr>
          <w:ilvl w:val="0"/>
          <w:numId w:val="1015"/>
        </w:numPr>
      </w:pPr>
      <w:r>
        <w:t xml:space="preserve">Negative volume and renewed market-share pressure.</w:t>
      </w:r>
    </w:p>
    <w:p>
      <w:pPr>
        <w:pStyle w:val="Compact"/>
        <w:numPr>
          <w:ilvl w:val="0"/>
          <w:numId w:val="1015"/>
        </w:numPr>
      </w:pPr>
      <w:r>
        <w:t xml:space="preserve">Weakness in North America, China or Beauty.</w:t>
      </w:r>
    </w:p>
    <w:p>
      <w:pPr>
        <w:pStyle w:val="Compact"/>
        <w:numPr>
          <w:ilvl w:val="0"/>
          <w:numId w:val="1015"/>
        </w:numPr>
      </w:pPr>
      <w:r>
        <w:t xml:space="preserve">Greater-than-expected gross-margin contraction.</w:t>
      </w:r>
    </w:p>
    <w:p>
      <w:pPr>
        <w:pStyle w:val="Compact"/>
        <w:numPr>
          <w:ilvl w:val="0"/>
          <w:numId w:val="1015"/>
        </w:numPr>
      </w:pPr>
      <w:r>
        <w:t xml:space="preserve">FY2027 core EPS guided flat to down.</w:t>
      </w:r>
    </w:p>
    <w:p>
      <w:pPr>
        <w:pStyle w:val="Compact"/>
        <w:numPr>
          <w:ilvl w:val="0"/>
          <w:numId w:val="1015"/>
        </w:numPr>
      </w:pPr>
      <w:r>
        <w:t xml:space="preserve">Management either reduces brand investment or signals that pricing will be insufficient to cover costs.</w:t>
      </w:r>
    </w:p>
    <w:p>
      <w:pPr>
        <w:pStyle w:val="Compact"/>
        <w:numPr>
          <w:ilvl w:val="0"/>
          <w:numId w:val="1015"/>
        </w:numPr>
      </w:pPr>
      <w:r>
        <w:t xml:space="preserve">Cash conversion falls below the FY2026 target.</w:t>
      </w:r>
    </w:p>
    <w:p>
      <w:pPr>
        <w:pStyle w:val="FirstParagraph"/>
      </w:pPr>
      <w:r>
        <w:rPr>
          <w:b/>
          <w:bCs/>
        </w:rPr>
        <w:t xml:space="preserve">Interpretation:</w:t>
      </w:r>
      <w:r>
        <w:t xml:space="preserve"> </w:t>
      </w:r>
      <w:r>
        <w:t xml:space="preserve">Q3 was more timing-driven than structural, and the new cost environment exposes a limited near-term earnings-growth path.</w:t>
      </w:r>
    </w:p>
    <w:bookmarkEnd w:id="26"/>
    <w:bookmarkEnd w:id="27"/>
    <w:bookmarkStart w:id="28" w:name="earnings-day-scorecard"/>
    <w:p>
      <w:pPr>
        <w:pStyle w:val="Heading2"/>
      </w:pPr>
      <w:r>
        <w:t xml:space="preserve">Earnings-day scorecard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Constructive signal</w:t>
            </w:r>
          </w:p>
        </w:tc>
        <w:tc>
          <w:tcPr/>
          <w:p>
            <w:pPr>
              <w:pStyle w:val="Compact"/>
            </w:pPr>
            <w:r>
              <w:t xml:space="preserve">Warning signal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Organic sales</w:t>
            </w:r>
          </w:p>
        </w:tc>
        <w:tc>
          <w:tcPr/>
          <w:p>
            <w:pPr>
              <w:pStyle w:val="Compact"/>
            </w:pPr>
            <w:r>
              <w:t xml:space="preserve">≥2%, with stable/positive volume</w:t>
            </w:r>
          </w:p>
        </w:tc>
        <w:tc>
          <w:tcPr/>
          <w:p>
            <w:pPr>
              <w:pStyle w:val="Compact"/>
            </w:pPr>
            <w:r>
              <w:t xml:space="preserve">≤1%, negative volume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Market share</w:t>
            </w:r>
          </w:p>
        </w:tc>
        <w:tc>
          <w:tcPr/>
          <w:p>
            <w:pPr>
              <w:pStyle w:val="Compact"/>
            </w:pPr>
            <w:r>
              <w:t xml:space="preserve">Sequential improvement</w:t>
            </w:r>
          </w:p>
        </w:tc>
        <w:tc>
          <w:tcPr/>
          <w:p>
            <w:pPr>
              <w:pStyle w:val="Compact"/>
            </w:pPr>
            <w:r>
              <w:t xml:space="preserve">Renewed broad-based losses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North America</w:t>
            </w:r>
          </w:p>
        </w:tc>
        <w:tc>
          <w:tcPr/>
          <w:p>
            <w:pPr>
              <w:pStyle w:val="Compact"/>
            </w:pPr>
            <w:r>
              <w:t xml:space="preserve">Consumption-led growth</w:t>
            </w:r>
          </w:p>
        </w:tc>
        <w:tc>
          <w:tcPr/>
          <w:p>
            <w:pPr>
              <w:pStyle w:val="Compact"/>
            </w:pPr>
            <w:r>
              <w:t xml:space="preserve">Inventory-driven growth only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China</w:t>
            </w:r>
          </w:p>
        </w:tc>
        <w:tc>
          <w:tcPr/>
          <w:p>
            <w:pPr>
              <w:pStyle w:val="Compact"/>
            </w:pPr>
            <w:r>
              <w:t xml:space="preserve">Continued low-to-mid-single-digit growth</w:t>
            </w:r>
          </w:p>
        </w:tc>
        <w:tc>
          <w:tcPr/>
          <w:p>
            <w:pPr>
              <w:pStyle w:val="Compact"/>
            </w:pPr>
            <w:r>
              <w:t xml:space="preserve">Return to decline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Beauty</w:t>
            </w:r>
          </w:p>
        </w:tc>
        <w:tc>
          <w:tcPr/>
          <w:p>
            <w:pPr>
              <w:pStyle w:val="Compact"/>
            </w:pPr>
            <w:r>
              <w:t xml:space="preserve">Sustained strong growth</w:t>
            </w:r>
          </w:p>
        </w:tc>
        <w:tc>
          <w:tcPr/>
          <w:p>
            <w:pPr>
              <w:pStyle w:val="Compact"/>
            </w:pPr>
            <w:r>
              <w:t xml:space="preserve">Sharp deceleration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U.S. Baby Care</w:t>
            </w:r>
          </w:p>
        </w:tc>
        <w:tc>
          <w:tcPr/>
          <w:p>
            <w:pPr>
              <w:pStyle w:val="Compact"/>
            </w:pPr>
            <w:r>
              <w:t xml:space="preserve">Early share improvement</w:t>
            </w:r>
          </w:p>
        </w:tc>
        <w:tc>
          <w:tcPr/>
          <w:p>
            <w:pPr>
              <w:pStyle w:val="Compact"/>
            </w:pPr>
            <w:r>
              <w:t xml:space="preserve">Continued deterioration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Core gross margin</w:t>
            </w:r>
          </w:p>
        </w:tc>
        <w:tc>
          <w:tcPr/>
          <w:p>
            <w:pPr>
              <w:pStyle w:val="Compact"/>
            </w:pPr>
            <w:r>
              <w:t xml:space="preserve">Better than roughly -50 bps</w:t>
            </w:r>
          </w:p>
        </w:tc>
        <w:tc>
          <w:tcPr/>
          <w:p>
            <w:pPr>
              <w:pStyle w:val="Compact"/>
            </w:pPr>
            <w:r>
              <w:t xml:space="preserve">Down more than 100 bps</w:t>
            </w:r>
          </w:p>
        </w:tc>
      </w:tr>
      <w:tr>
        <w:tc>
          <w:tcPr/>
          <w:p>
            <w:pPr>
              <w:pStyle w:val="Compact"/>
            </w:pPr>
            <w:r>
              <w:t xml:space="preserve">FY2027 EPS</w:t>
            </w:r>
          </w:p>
        </w:tc>
        <w:tc>
          <w:tcPr/>
          <w:p>
            <w:pPr>
              <w:pStyle w:val="Compact"/>
            </w:pPr>
            <w:r>
              <w:t xml:space="preserve">Positive growth with credible bridge</w:t>
            </w:r>
          </w:p>
        </w:tc>
        <w:tc>
          <w:tcPr/>
          <w:p>
            <w:pPr>
              <w:pStyle w:val="Compact"/>
            </w:pPr>
            <w:r>
              <w:t xml:space="preserve">Flat/down or very wide range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Pricing</w:t>
            </w:r>
          </w:p>
        </w:tc>
        <w:tc>
          <w:tcPr/>
          <w:p>
            <w:pPr>
              <w:pStyle w:val="Compact"/>
            </w:pPr>
            <w:r>
              <w:t xml:space="preserve">Selective, innovation-led, manageable elasticity</w:t>
            </w:r>
          </w:p>
        </w:tc>
        <w:tc>
          <w:tcPr/>
          <w:p>
            <w:pPr>
              <w:pStyle w:val="Compact"/>
            </w:pPr>
            <w:r>
              <w:t xml:space="preserve">Broad pricing with volume risk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flow</w:t>
            </w:r>
          </w:p>
        </w:tc>
        <w:tc>
          <w:tcPr/>
          <w:p>
            <w:pPr>
              <w:pStyle w:val="Compact"/>
            </w:pPr>
            <w:r>
              <w:t xml:space="preserve">FY2026 productivity within 85%–90%</w:t>
            </w:r>
          </w:p>
        </w:tc>
        <w:tc>
          <w:tcPr/>
          <w:p>
            <w:pPr>
              <w:pStyle w:val="Compact"/>
            </w:pPr>
            <w:r>
              <w:t xml:space="preserve">Miss or lowered medium-term expectations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Investment</w:t>
            </w:r>
          </w:p>
        </w:tc>
        <w:tc>
          <w:tcPr/>
          <w:p>
            <w:pPr>
              <w:pStyle w:val="Compact"/>
            </w:pPr>
            <w:r>
              <w:t xml:space="preserve">Maintained behind winning businesses</w:t>
            </w:r>
          </w:p>
        </w:tc>
        <w:tc>
          <w:tcPr/>
          <w:p>
            <w:pPr>
              <w:pStyle w:val="Compact"/>
            </w:pPr>
            <w:r>
              <w:t xml:space="preserve">Material cuts to defend EPS</w:t>
            </w:r>
          </w:p>
        </w:tc>
      </w:tr>
    </w:tbl>
    <w:bookmarkEnd w:id="28"/>
    <w:bookmarkStart w:id="29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The Q4 numbers themselves carry a manageable bar: roughly</w:t>
      </w:r>
      <w:r>
        <w:t xml:space="preserve"> </w:t>
      </w:r>
      <w:r>
        <w:rPr>
          <w:b/>
          <w:bCs/>
        </w:rPr>
        <w:t xml:space="preserve">2% organic growth, $21.4 billion of revenue and $1.42 of core EPS</w:t>
      </w:r>
      <w:r>
        <w:t xml:space="preserve">. A modest beat or miss around those figures should not determine the investment conclusion.</w:t>
      </w:r>
    </w:p>
    <w:p>
      <w:pPr>
        <w:pStyle w:val="BodyText"/>
      </w:pPr>
      <w:r>
        <w:t xml:space="preserve">The more consequential question is whether P&amp;G can present a credible fiscal 2027 plan that combines:</w:t>
      </w:r>
    </w:p>
    <w:p>
      <w:pPr>
        <w:pStyle w:val="Compact"/>
        <w:numPr>
          <w:ilvl w:val="0"/>
          <w:numId w:val="1016"/>
        </w:numPr>
      </w:pPr>
      <w:r>
        <w:t xml:space="preserve">Sustained organic volume and share improvement;</w:t>
      </w:r>
    </w:p>
    <w:p>
      <w:pPr>
        <w:pStyle w:val="Compact"/>
        <w:numPr>
          <w:ilvl w:val="0"/>
          <w:numId w:val="1016"/>
        </w:numPr>
      </w:pPr>
      <w:r>
        <w:t xml:space="preserve">Selective innovation-supported pricing;</w:t>
      </w:r>
    </w:p>
    <w:p>
      <w:pPr>
        <w:pStyle w:val="Compact"/>
        <w:numPr>
          <w:ilvl w:val="0"/>
          <w:numId w:val="1016"/>
        </w:numPr>
      </w:pPr>
      <w:r>
        <w:t xml:space="preserve">Strong productivity and restructuring savings;</w:t>
      </w:r>
    </w:p>
    <w:p>
      <w:pPr>
        <w:pStyle w:val="Compact"/>
        <w:numPr>
          <w:ilvl w:val="0"/>
          <w:numId w:val="1016"/>
        </w:numPr>
      </w:pPr>
      <w:r>
        <w:t xml:space="preserve">Continued brand investment; and</w:t>
      </w:r>
    </w:p>
    <w:p>
      <w:pPr>
        <w:pStyle w:val="Compact"/>
        <w:numPr>
          <w:ilvl w:val="0"/>
          <w:numId w:val="1016"/>
        </w:numPr>
      </w:pPr>
      <w:r>
        <w:t xml:space="preserve">At least modest core-EPS growth despite substantial energy and tariff pressure.</w:t>
      </w:r>
    </w:p>
    <w:p>
      <w:pPr>
        <w:pStyle w:val="FirstParagraph"/>
      </w:pPr>
      <w:r>
        <w:t xml:space="preserve">A clean Q4 accompanied by positive FY2027 EPS growth would support the view that P&amp;G’s recent top-line recovery is gaining durability. Conversely, weak underlying volume or flat-to-down FY2027 guidance would suggest that the company’s premium valuation and defensive reputation are being tested by a more difficult price-cost environment.</w:t>
      </w:r>
    </w:p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6" Target="https://stage.zacks.com/stock/quote/PG/detailed-earning-estimates?icid=SITE_SECTION-SUB_SECTION-quote_nav_tracking-zcom-left_subnav_quote_navbar-detailed_earning_estimates&amp;utm_source=openai" TargetMode="External" /><Relationship Type="http://schemas.openxmlformats.org/officeDocument/2006/relationships/hyperlink" Id="rId9" Target="https://us.pg.com/newsroom/news-releases/PG-to-Webcast-Discussion-of-Fourth-Quarter-2526-Earnings-Results-on-July-29/" TargetMode="External" /><Relationship Type="http://schemas.openxmlformats.org/officeDocument/2006/relationships/hyperlink" Id="rId10" Target="https://www.pginvestor.com/news/news-details/2026/PG-Announces-Fiscal-Year-2026-Third-Quarter-Results/default.aspx?utm_source=openai" TargetMode="External" /><Relationship Type="http://schemas.openxmlformats.org/officeDocument/2006/relationships/hyperlink" Id="rId12" Target="https://www.zacks.com/stock/news/2959660/procter-gamble-to-report-q4-earnings-what-should-you-know?utm_source=opena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6" Target="https://stage.zacks.com/stock/quote/PG/detailed-earning-estimates?icid=SITE_SECTION-SUB_SECTION-quote_nav_tracking-zcom-left_subnav_quote_navbar-detailed_earning_estimates&amp;utm_source=openai" TargetMode="External" /><Relationship Type="http://schemas.openxmlformats.org/officeDocument/2006/relationships/hyperlink" Id="rId9" Target="https://us.pg.com/newsroom/news-releases/PG-to-Webcast-Discussion-of-Fourth-Quarter-2526-Earnings-Results-on-July-29/" TargetMode="External" /><Relationship Type="http://schemas.openxmlformats.org/officeDocument/2006/relationships/hyperlink" Id="rId10" Target="https://www.pginvestor.com/news/news-details/2026/PG-Announces-Fiscal-Year-2026-Third-Quarter-Results/default.aspx?utm_source=openai" TargetMode="External" /><Relationship Type="http://schemas.openxmlformats.org/officeDocument/2006/relationships/hyperlink" Id="rId12" Target="https://www.zacks.com/stock/news/2959660/procter-gamble-to-report-q4-earnings-what-should-you-know?utm_source=opena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2026-07-29T00:24:13Z</dcterms:created>
  <dcterms:modified xsi:type="dcterms:W3CDTF">2026-07-29T00:24:13Z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