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Xa7cd290b771d60b56ee87ee14792b261aae4cdd"/>
    <w:p>
      <w:pPr>
        <w:pStyle w:val="Heading1"/>
      </w:pPr>
      <w:r>
        <w:t xml:space="preserve">Procter &amp; Gamble (PG) — Fiscal 4Q26 Earnings Preview</w:t>
      </w:r>
    </w:p>
    <w:p>
      <w:pPr>
        <w:pStyle w:val="BlockText"/>
      </w:pPr>
      <w:r>
        <w:rPr>
          <w:b/>
          <w:bCs/>
        </w:rPr>
        <w:t xml:space="preserve">Timing note:</w:t>
      </w:r>
      <w:r>
        <w:t xml:space="preserve"> </w:t>
      </w:r>
      <w:r>
        <w:t xml:space="preserve">The stated event date is</w:t>
      </w:r>
      <w:r>
        <w:t xml:space="preserve"> </w:t>
      </w:r>
      <w:r>
        <w:rPr>
          <w:b/>
          <w:bCs/>
        </w:rPr>
        <w:t xml:space="preserve">Wednesday, July 29, 2026</w:t>
      </w:r>
      <w:r>
        <w:t xml:space="preserve">—which is</w:t>
      </w:r>
      <w:r>
        <w:t xml:space="preserve"> </w:t>
      </w:r>
      <w:r>
        <w:rPr>
          <w:b/>
          <w:bCs/>
        </w:rPr>
        <w:t xml:space="preserve">today</w:t>
      </w:r>
      <w:r>
        <w:t xml:space="preserve">, not tomorrow. This preview is therefore framed for the period immediately ahead of PG’s pre-market fiscal 4Q26 release and earnings call.</w:t>
      </w:r>
    </w:p>
    <w:bookmarkStart w:id="9" w:name="X65b88f10acaa40ff46a8bfc4183f797d5db1b7e"/>
    <w:p>
      <w:pPr>
        <w:pStyle w:val="Heading2"/>
      </w:pPr>
      <w:r>
        <w:t xml:space="preserve">Investment view: the setup is about the</w:t>
      </w:r>
      <w:r>
        <w:t xml:space="preserve"> </w:t>
      </w:r>
      <w:r>
        <w:rPr>
          <w:i/>
          <w:iCs/>
        </w:rPr>
        <w:t xml:space="preserve">quality</w:t>
      </w:r>
      <w:r>
        <w:t xml:space="preserve"> </w:t>
      </w:r>
      <w:r>
        <w:t xml:space="preserve">of the turnaround—and fiscal 2027’s earnings algorithm</w:t>
      </w:r>
    </w:p>
    <w:p>
      <w:pPr>
        <w:pStyle w:val="FirstParagraph"/>
      </w:pPr>
      <w:r>
        <w:t xml:space="preserve">P&amp;G enters fiscal 4Q with improving underlying demand but an unusually difficult near-term cost backdrop. The central question is no longer whether the company can generate growth in pockets of the portfolio—it showed that in fiscal 3Q—but whether that momentum is sufficiently broad and durable to support organic-sales outperformance, continued share stabilization, and earnings growth</w:t>
      </w:r>
      <w:r>
        <w:t xml:space="preserve"> </w:t>
      </w:r>
      <w:r>
        <w:rPr>
          <w:b/>
          <w:bCs/>
        </w:rPr>
        <w:t xml:space="preserve">despite</w:t>
      </w:r>
      <w:r>
        <w:t xml:space="preserve"> </w:t>
      </w:r>
      <w:r>
        <w:t xml:space="preserve">elevated petrochemical, logistics, tariff, and restructuring costs.</w:t>
      </w:r>
    </w:p>
    <w:p>
      <w:pPr>
        <w:pStyle w:val="BodyText"/>
      </w:pPr>
      <w:r>
        <w:t xml:space="preserve">Street expectations appear relatively measured: approximately</w:t>
      </w:r>
      <w:r>
        <w:t xml:space="preserve"> </w:t>
      </w:r>
      <w:r>
        <w:rPr>
          <w:b/>
          <w:bCs/>
        </w:rPr>
        <w:t xml:space="preserve">2.1% organic sales growth</w:t>
      </w:r>
      <w:r>
        <w:t xml:space="preserve">,</w:t>
      </w:r>
      <w:r>
        <w:t xml:space="preserve"> </w:t>
      </w:r>
      <w:r>
        <w:rPr>
          <w:b/>
          <w:bCs/>
        </w:rPr>
        <w:t xml:space="preserve">$1.42 EPS</w:t>
      </w:r>
      <w:r>
        <w:t xml:space="preserve">, a</w:t>
      </w:r>
      <w:r>
        <w:t xml:space="preserve"> </w:t>
      </w:r>
      <w:r>
        <w:rPr>
          <w:b/>
          <w:bCs/>
        </w:rPr>
        <w:t xml:space="preserve">48.4% gross margin</w:t>
      </w:r>
      <w:r>
        <w:t xml:space="preserve">, and a</w:t>
      </w:r>
      <w:r>
        <w:t xml:space="preserve"> </w:t>
      </w:r>
      <w:r>
        <w:rPr>
          <w:b/>
          <w:bCs/>
        </w:rPr>
        <w:t xml:space="preserve">20.0% operating margin</w:t>
      </w:r>
      <w:r>
        <w:t xml:space="preserve">. The more consequential part of the event will likely be fiscal 2027 guidance, particularly management’s assumptions for commodity costs, pricing, productivity, reinvestment, and the consumer environment.</w:t>
      </w:r>
    </w:p>
    <w:bookmarkEnd w:id="9"/>
    <w:bookmarkStart w:id="13" w:name="what-matters-most"/>
    <w:p>
      <w:pPr>
        <w:pStyle w:val="Heading2"/>
      </w:pPr>
      <w:r>
        <w:t xml:space="preserve">What matters most</w:t>
      </w:r>
    </w:p>
    <w:bookmarkStart w:id="10" w:name="X924cc2d9b6230b02d7ba218ba5472130780fecb"/>
    <w:p>
      <w:pPr>
        <w:pStyle w:val="Heading3"/>
      </w:pPr>
      <w:r>
        <w:t xml:space="preserve">1. Organic sales growth: can PG sustain the 3Q acceleration?</w:t>
      </w:r>
    </w:p>
    <w:p>
      <w:pPr>
        <w:pStyle w:val="FirstParagraph"/>
      </w:pPr>
      <w:r>
        <w:t xml:space="preserve">In fiscal 3Q, organic sales grew</w:t>
      </w:r>
      <w:r>
        <w:t xml:space="preserve"> </w:t>
      </w:r>
      <w:r>
        <w:rPr>
          <w:b/>
          <w:bCs/>
        </w:rPr>
        <w:t xml:space="preserve">more than 3%</w:t>
      </w:r>
      <w:r>
        <w:t xml:space="preserve">, with</w:t>
      </w:r>
      <w:r>
        <w:t xml:space="preserve"> </w:t>
      </w:r>
      <w:r>
        <w:rPr>
          <w:b/>
          <w:bCs/>
        </w:rPr>
        <w:t xml:space="preserve">2 points of volume growth</w:t>
      </w:r>
      <w:r>
        <w:t xml:space="preserve">,</w:t>
      </w:r>
      <w:r>
        <w:t xml:space="preserve"> </w:t>
      </w:r>
      <w:r>
        <w:rPr>
          <w:b/>
          <w:bCs/>
        </w:rPr>
        <w:t xml:space="preserve">1 point of pricing</w:t>
      </w:r>
      <w:r>
        <w:t xml:space="preserve">, and flat mix. Growth was unusually broad: all 10 product categories and all seven regions grew organically.</w:t>
      </w:r>
    </w:p>
    <w:p>
      <w:pPr>
        <w:pStyle w:val="BodyText"/>
      </w:pPr>
      <w:r>
        <w:t xml:space="preserve">For 4Q, management had already cautioned that organic growth should be below 3Q, partly because roughly</w:t>
      </w:r>
      <w:r>
        <w:t xml:space="preserve"> </w:t>
      </w:r>
      <w:r>
        <w:rPr>
          <w:b/>
          <w:bCs/>
        </w:rPr>
        <w:t xml:space="preserve">one point of 3Q growth reflected timing</w:t>
      </w:r>
      <w:r>
        <w:t xml:space="preserve">—including Easter-related trade-inventory dynamics pulled forward from 4Q. That makes a ~2% organic-growth outcome unsurprising; the quality of that growth is more important than the headline.</w:t>
      </w:r>
    </w:p>
    <w:p>
      <w:pPr>
        <w:pStyle w:val="BodyText"/>
      </w:pPr>
      <w:r>
        <w:rPr>
          <w:b/>
          <w:bCs/>
        </w:rPr>
        <w:t xml:space="preserve">Key read-throughs</w:t>
      </w:r>
    </w:p>
    <w:p>
      <w:pPr>
        <w:pStyle w:val="Compact"/>
        <w:numPr>
          <w:ilvl w:val="0"/>
          <w:numId w:val="1001"/>
        </w:numPr>
      </w:pPr>
      <w:r>
        <w:rPr>
          <w:b/>
          <w:bCs/>
        </w:rPr>
        <w:t xml:space="preserve">Volume:</w:t>
      </w:r>
      <w:r>
        <w:t xml:space="preserve"> </w:t>
      </w:r>
      <w:r>
        <w:t xml:space="preserve">PG needs to preserve positive volume as it manages value-sensitive consumers. A volume-led or volume-supported result would validate the innovation and affordability interventions.</w:t>
      </w:r>
    </w:p>
    <w:p>
      <w:pPr>
        <w:pStyle w:val="Compact"/>
        <w:numPr>
          <w:ilvl w:val="0"/>
          <w:numId w:val="1001"/>
        </w:numPr>
      </w:pPr>
      <w:r>
        <w:rPr>
          <w:b/>
          <w:bCs/>
        </w:rPr>
        <w:t xml:space="preserve">Pricing:</w:t>
      </w:r>
      <w:r>
        <w:t xml:space="preserve"> </w:t>
      </w:r>
      <w:r>
        <w:t xml:space="preserve">Pricing is likely to remain selective and tied to innovation rather than a broad-based inflation pass-through.</w:t>
      </w:r>
    </w:p>
    <w:p>
      <w:pPr>
        <w:pStyle w:val="Compact"/>
        <w:numPr>
          <w:ilvl w:val="0"/>
          <w:numId w:val="1001"/>
        </w:numPr>
      </w:pPr>
      <w:r>
        <w:rPr>
          <w:b/>
          <w:bCs/>
        </w:rPr>
        <w:t xml:space="preserve">Share:</w:t>
      </w:r>
      <w:r>
        <w:t xml:space="preserve"> </w:t>
      </w:r>
      <w:r>
        <w:t xml:space="preserve">Fiscal 3Q aggregate share had improved to roughly flat year over year, but only 26 of PG’s top 50 category-country combinations held or gained share. Investors will want evidence that interventions are reaching enough of the portfolio to make share gains more consistent.</w:t>
      </w:r>
    </w:p>
    <w:p>
      <w:pPr>
        <w:pStyle w:val="Compact"/>
        <w:numPr>
          <w:ilvl w:val="0"/>
          <w:numId w:val="1001"/>
        </w:numPr>
      </w:pPr>
      <w:r>
        <w:rPr>
          <w:b/>
          <w:bCs/>
        </w:rPr>
        <w:t xml:space="preserve">North America:</w:t>
      </w:r>
      <w:r>
        <w:t xml:space="preserve"> </w:t>
      </w:r>
      <w:r>
        <w:t xml:space="preserve">Fiscal 3Q North America organic sales grew 4%, helped by improved consumption and inventory dynamics. Investors should distinguish sustainable consumer demand from residual trade effects.</w:t>
      </w:r>
    </w:p>
    <w:p>
      <w:pPr>
        <w:pStyle w:val="FirstParagraph"/>
      </w:pPr>
      <w:r>
        <w:rPr>
          <w:b/>
          <w:bCs/>
        </w:rPr>
        <w:t xml:space="preserve">Bottom line:</w:t>
      </w:r>
      <w:r>
        <w:t xml:space="preserve"> </w:t>
      </w:r>
      <w:r>
        <w:t xml:space="preserve">A 2%-plus organic-sales result with positive volume and no renewed share slippage would be constructive. A result below that level, particularly if driven by renewed volume weakness, would challenge the turnaround narrative.</w:t>
      </w:r>
    </w:p>
    <w:p>
      <w:r>
        <w:pict>
          <v:rect style="width:0;height:1.5pt" o:hralign="center" o:hrstd="t" o:hr="t"/>
        </w:pict>
      </w:r>
    </w:p>
    <w:bookmarkEnd w:id="10"/>
    <w:bookmarkStart w:id="11" w:name="Xe9ae6db67dbf73e6eaae1693f7660ae63f27699"/>
    <w:p>
      <w:pPr>
        <w:pStyle w:val="Heading3"/>
      </w:pPr>
      <w:r>
        <w:t xml:space="preserve">2. Margins: expect pressure; focus on the offset plan rather than the reported rate</w:t>
      </w:r>
    </w:p>
    <w:p>
      <w:pPr>
        <w:pStyle w:val="FirstParagraph"/>
      </w:pPr>
      <w:r>
        <w:t xml:space="preserve">Fiscal 3Q core gross margin declined</w:t>
      </w:r>
      <w:r>
        <w:t xml:space="preserve"> </w:t>
      </w:r>
      <w:r>
        <w:rPr>
          <w:b/>
          <w:bCs/>
        </w:rPr>
        <w:t xml:space="preserve">100 basis points</w:t>
      </w:r>
      <w:r>
        <w:t xml:space="preserve"> </w:t>
      </w:r>
      <w:r>
        <w:t xml:space="preserve">and core operating margin declined</w:t>
      </w:r>
      <w:r>
        <w:t xml:space="preserve"> </w:t>
      </w:r>
      <w:r>
        <w:rPr>
          <w:b/>
          <w:bCs/>
        </w:rPr>
        <w:t xml:space="preserve">80 basis points</w:t>
      </w:r>
      <w:r>
        <w:t xml:space="preserve"> </w:t>
      </w:r>
      <w:r>
        <w:t xml:space="preserve">year over year. Productivity was strong—</w:t>
      </w:r>
      <w:r>
        <w:rPr>
          <w:b/>
          <w:bCs/>
        </w:rPr>
        <w:t xml:space="preserve">330 basis points</w:t>
      </w:r>
      <w:r>
        <w:t xml:space="preserve"> </w:t>
      </w:r>
      <w:r>
        <w:t xml:space="preserve">in 3Q—but was more than absorbed by innovation, demand-creation investment, and higher costs.</w:t>
      </w:r>
    </w:p>
    <w:p>
      <w:pPr>
        <w:pStyle w:val="BodyText"/>
      </w:pPr>
      <w:r>
        <w:t xml:space="preserve">The 4Q margin setup is harder. Management identified approximately</w:t>
      </w:r>
      <w:r>
        <w:t xml:space="preserve"> </w:t>
      </w:r>
      <m:oMath>
        <m:r>
          <m:t>150</m:t>
        </m:r>
        <m:r>
          <m:t>m</m:t>
        </m:r>
        <m:r>
          <m:t>i</m:t>
        </m:r>
        <m:r>
          <m:t>l</m:t>
        </m:r>
        <m:r>
          <m:t>l</m:t>
        </m:r>
        <m:r>
          <m:t>i</m:t>
        </m:r>
        <m:r>
          <m:t>o</m:t>
        </m:r>
        <m:r>
          <m:t>n</m:t>
        </m:r>
        <m:r>
          <m:t>a</m:t>
        </m:r>
        <m:r>
          <m:t>f</m:t>
        </m:r>
        <m:r>
          <m:t>t</m:t>
        </m:r>
        <m:r>
          <m:t>e</m:t>
        </m:r>
        <m:r>
          <m:t>r</m:t>
        </m:r>
        <m:r>
          <m:t>t</m:t>
        </m:r>
        <m:r>
          <m:t>a</m:t>
        </m:r>
        <m:r>
          <m:t>x</m:t>
        </m:r>
        <m:r>
          <m:rPr>
            <m:sty m:val="p"/>
          </m:rPr>
          <m:t>*</m:t>
        </m:r>
        <m:r>
          <m:rPr>
            <m:sty m:val="p"/>
          </m:rPr>
          <m:t>*</m:t>
        </m:r>
        <m:r>
          <m:t>o</m:t>
        </m:r>
        <m:r>
          <m:t>f</m:t>
        </m:r>
        <m:r>
          <m:t>f</m:t>
        </m:r>
        <m:r>
          <m:t>i</m:t>
        </m:r>
        <m:r>
          <m:t>s</m:t>
        </m:r>
        <m:r>
          <m:t>c</m:t>
        </m:r>
        <m:r>
          <m:t>a</m:t>
        </m:r>
        <m:r>
          <m:t>l</m:t>
        </m:r>
        <m:r>
          <m:rPr>
            <m:sty m:val="p"/>
          </m:rPr>
          <m:t>−</m:t>
        </m:r>
        <m:r>
          <m:t>2026</m:t>
        </m:r>
        <m:r>
          <m:t>c</m:t>
        </m:r>
        <m:r>
          <m:t>o</m:t>
        </m:r>
        <m:r>
          <m:t>s</m:t>
        </m:r>
        <m:r>
          <m:t>t</m:t>
        </m:r>
        <m:r>
          <m:t>s</m:t>
        </m:r>
        <m:r>
          <m:t>r</m:t>
        </m:r>
        <m:r>
          <m:t>e</m:t>
        </m:r>
        <m:r>
          <m:t>l</m:t>
        </m:r>
        <m:r>
          <m:t>a</m:t>
        </m:r>
        <m:r>
          <m:t>t</m:t>
        </m:r>
        <m:r>
          <m:t>e</m:t>
        </m:r>
        <m:r>
          <m:t>d</m:t>
        </m:r>
        <m:r>
          <m:t>t</m:t>
        </m:r>
        <m:r>
          <m:t>o</m:t>
        </m:r>
        <m:r>
          <m:t>M</m:t>
        </m:r>
        <m:r>
          <m:t>i</m:t>
        </m:r>
        <m:r>
          <m:t>d</m:t>
        </m:r>
        <m:r>
          <m:t>d</m:t>
        </m:r>
        <m:r>
          <m:t>l</m:t>
        </m:r>
        <m:r>
          <m:t>e</m:t>
        </m:r>
        <m:r>
          <m:t>E</m:t>
        </m:r>
        <m:r>
          <m:t>a</m:t>
        </m:r>
        <m:r>
          <m:t>s</m:t>
        </m:r>
        <m:r>
          <m:t>t</m:t>
        </m:r>
        <m:r>
          <m:t>c</m:t>
        </m:r>
        <m:r>
          <m:t>o</m:t>
        </m:r>
        <m:r>
          <m:t>n</m:t>
        </m:r>
        <m:r>
          <m:t>f</m:t>
        </m:r>
        <m:r>
          <m:t>l</m:t>
        </m:r>
        <m:r>
          <m:t>i</m:t>
        </m:r>
        <m:r>
          <m:t>c</m:t>
        </m:r>
        <m:r>
          <m:t>t</m:t>
        </m:r>
        <m:r>
          <m:t>e</m:t>
        </m:r>
        <m:r>
          <m:t>f</m:t>
        </m:r>
        <m:r>
          <m:t>f</m:t>
        </m:r>
        <m:r>
          <m:t>e</m:t>
        </m:r>
        <m:r>
          <m:t>c</m:t>
        </m:r>
        <m:r>
          <m:t>t</m:t>
        </m:r>
        <m:r>
          <m:t>s</m:t>
        </m:r>
        <m:r>
          <m:rPr>
            <m:sty m:val="p"/>
          </m:rPr>
          <m:t>,</m:t>
        </m:r>
        <m:r>
          <m:t>i</m:t>
        </m:r>
        <m:r>
          <m:t>n</m:t>
        </m:r>
        <m:r>
          <m:t>c</m:t>
        </m:r>
        <m:r>
          <m:t>l</m:t>
        </m:r>
        <m:r>
          <m:t>u</m:t>
        </m:r>
        <m:r>
          <m:t>d</m:t>
        </m:r>
        <m:r>
          <m:t>i</m:t>
        </m:r>
        <m:r>
          <m:t>n</m:t>
        </m:r>
        <m:r>
          <m:t>g</m:t>
        </m:r>
        <m:r>
          <m:t>c</m:t>
        </m:r>
        <m:r>
          <m:t>o</m:t>
        </m:r>
        <m:r>
          <m:t>m</m:t>
        </m:r>
        <m:r>
          <m:t>m</m:t>
        </m:r>
        <m:r>
          <m:t>o</m:t>
        </m:r>
        <m:r>
          <m:t>d</m:t>
        </m:r>
        <m:r>
          <m:t>i</m:t>
        </m:r>
        <m:r>
          <m:t>t</m:t>
        </m:r>
        <m:r>
          <m:t>y</m:t>
        </m:r>
        <m:r>
          <m:rPr>
            <m:sty m:val="p"/>
          </m:rPr>
          <m:t>−</m:t>
        </m:r>
        <m:r>
          <m:t>l</m:t>
        </m:r>
        <m:r>
          <m:t>i</m:t>
        </m:r>
        <m:r>
          <m:t>n</m:t>
        </m:r>
        <m:r>
          <m:t>k</m:t>
        </m:r>
        <m:r>
          <m:t>e</m:t>
        </m:r>
        <m:r>
          <m:t>d</m:t>
        </m:r>
        <m:r>
          <m:t>i</m:t>
        </m:r>
        <m:r>
          <m:t>n</m:t>
        </m:r>
        <m:r>
          <m:t>f</m:t>
        </m:r>
        <m:r>
          <m:t>l</m:t>
        </m:r>
        <m:r>
          <m:t>a</m:t>
        </m:r>
        <m:r>
          <m:t>t</m:t>
        </m:r>
        <m:r>
          <m:t>i</m:t>
        </m:r>
        <m:r>
          <m:t>o</m:t>
        </m:r>
        <m:r>
          <m:t>n</m:t>
        </m:r>
        <m:r>
          <m:rPr>
            <m:sty m:val="p"/>
          </m:rPr>
          <m:t>,</m:t>
        </m:r>
        <m:r>
          <m:t>f</m:t>
        </m:r>
        <m:r>
          <m:t>e</m:t>
        </m:r>
        <m:r>
          <m:t>e</m:t>
        </m:r>
        <m:r>
          <m:t>d</m:t>
        </m:r>
        <m:r>
          <m:t>s</m:t>
        </m:r>
        <m:r>
          <m:t>t</m:t>
        </m:r>
        <m:r>
          <m:t>o</m:t>
        </m:r>
        <m:r>
          <m:t>c</m:t>
        </m:r>
        <m:r>
          <m:t>k</m:t>
        </m:r>
        <m:r>
          <m:t>e</m:t>
        </m:r>
        <m:r>
          <m:t>x</m:t>
        </m:r>
        <m:r>
          <m:t>p</m:t>
        </m:r>
        <m:r>
          <m:t>o</m:t>
        </m:r>
        <m:r>
          <m:t>s</m:t>
        </m:r>
        <m:r>
          <m:t>u</m:t>
        </m:r>
        <m:r>
          <m:t>r</m:t>
        </m:r>
        <m:r>
          <m:t>e</m:t>
        </m:r>
        <m:r>
          <m:rPr>
            <m:sty m:val="p"/>
          </m:rPr>
          <m:t>,</m:t>
        </m:r>
        <m:r>
          <m:t>a</m:t>
        </m:r>
        <m:r>
          <m:t>n</m:t>
        </m:r>
        <m:r>
          <m:t>d</m:t>
        </m:r>
        <m:r>
          <m:t>l</m:t>
        </m:r>
        <m:r>
          <m:t>o</m:t>
        </m:r>
        <m:r>
          <m:t>g</m:t>
        </m:r>
        <m:r>
          <m:t>i</m:t>
        </m:r>
        <m:r>
          <m:t>s</m:t>
        </m:r>
        <m:r>
          <m:t>t</m:t>
        </m:r>
        <m:r>
          <m:t>i</m:t>
        </m:r>
        <m:r>
          <m:t>c</m:t>
        </m:r>
        <m:r>
          <m:t>s</m:t>
        </m:r>
        <m:r>
          <m:t>d</m:t>
        </m:r>
        <m:r>
          <m:t>i</m:t>
        </m:r>
        <m:r>
          <m:t>s</m:t>
        </m:r>
        <m:r>
          <m:t>r</m:t>
        </m:r>
        <m:r>
          <m:t>u</m:t>
        </m:r>
        <m:r>
          <m:t>p</m:t>
        </m:r>
        <m:r>
          <m:t>t</m:t>
        </m:r>
        <m:r>
          <m:t>i</m:t>
        </m:r>
        <m:r>
          <m:t>o</m:t>
        </m:r>
        <m:r>
          <m:t>n</m:t>
        </m:r>
        <m:r>
          <m:rPr>
            <m:sty m:val="p"/>
          </m:rPr>
          <m:t>;</m:t>
        </m:r>
        <m:r>
          <m:t>i</m:t>
        </m:r>
        <m:r>
          <m:t>t</m:t>
        </m:r>
        <m:r>
          <m:t>s</m:t>
        </m:r>
        <m:r>
          <m:t>a</m:t>
        </m:r>
        <m:r>
          <m:t>i</m:t>
        </m:r>
        <m:r>
          <m:t>d</m:t>
        </m:r>
        <m:r>
          <m:t>a</m:t>
        </m:r>
        <m:r>
          <m:t>l</m:t>
        </m:r>
        <m:r>
          <m:t>m</m:t>
        </m:r>
        <m:r>
          <m:t>o</m:t>
        </m:r>
        <m:r>
          <m:t>s</m:t>
        </m:r>
        <m:r>
          <m:t>t</m:t>
        </m:r>
        <m:r>
          <m:t>a</m:t>
        </m:r>
        <m:r>
          <m:t>l</m:t>
        </m:r>
        <m:r>
          <m:t>l</m:t>
        </m:r>
        <m:r>
          <m:t>o</m:t>
        </m:r>
        <m:r>
          <m:t>f</m:t>
        </m:r>
        <m:r>
          <m:t>t</m:t>
        </m:r>
        <m:r>
          <m:t>h</m:t>
        </m:r>
        <m:r>
          <m:t>a</m:t>
        </m:r>
        <m:r>
          <m:t>t</m:t>
        </m:r>
        <m:r>
          <m:t>c</m:t>
        </m:r>
        <m:r>
          <m:t>o</m:t>
        </m:r>
        <m:r>
          <m:t>s</m:t>
        </m:r>
        <m:r>
          <m:t>t</m:t>
        </m:r>
        <m:r>
          <m:t>w</m:t>
        </m:r>
        <m:r>
          <m:t>o</m:t>
        </m:r>
        <m:r>
          <m:t>u</m:t>
        </m:r>
        <m:r>
          <m:t>l</m:t>
        </m:r>
        <m:r>
          <m:t>d</m:t>
        </m:r>
        <m:r>
          <m:t>f</m:t>
        </m:r>
        <m:r>
          <m:t>a</m:t>
        </m:r>
        <m:r>
          <m:t>l</m:t>
        </m:r>
        <m:r>
          <m:t>l</m:t>
        </m:r>
        <m:r>
          <m:t>i</m:t>
        </m:r>
        <m:r>
          <m:t>n</m:t>
        </m:r>
        <m:r>
          <m:t>f</m:t>
        </m:r>
        <m:r>
          <m:t>i</m:t>
        </m:r>
        <m:r>
          <m:t>s</m:t>
        </m:r>
        <m:r>
          <m:t>c</m:t>
        </m:r>
        <m:r>
          <m:t>a</m:t>
        </m:r>
        <m:r>
          <m:t>l</m:t>
        </m:r>
        <m:r>
          <m:t>4</m:t>
        </m:r>
        <m:r>
          <m:t>Q</m:t>
        </m:r>
        <m:r>
          <m:rPr>
            <m:sty m:val="p"/>
          </m:rPr>
          <m:t>.</m:t>
        </m:r>
        <m:r>
          <m:t>P</m:t>
        </m:r>
        <m:r>
          <m:t>G</m:t>
        </m:r>
        <m:r>
          <m:t>a</m:t>
        </m:r>
        <m:r>
          <m:t>l</m:t>
        </m:r>
        <m:r>
          <m:t>s</m:t>
        </m:r>
        <m:r>
          <m:t>o</m:t>
        </m:r>
        <m:r>
          <m:t>m</m:t>
        </m:r>
        <m:r>
          <m:t>a</m:t>
        </m:r>
        <m:r>
          <m:t>i</m:t>
        </m:r>
        <m:r>
          <m:t>n</m:t>
        </m:r>
        <m:r>
          <m:t>t</m:t>
        </m:r>
        <m:r>
          <m:t>a</m:t>
        </m:r>
        <m:r>
          <m:t>i</m:t>
        </m:r>
        <m:r>
          <m:t>n</m:t>
        </m:r>
        <m:r>
          <m:t>e</m:t>
        </m:r>
        <m:r>
          <m:t>d</m:t>
        </m:r>
        <m:r>
          <m:t>i</m:t>
        </m:r>
        <m:r>
          <m:t>t</m:t>
        </m:r>
        <m:r>
          <m:t>s</m:t>
        </m:r>
        <m:r>
          <m:t>e</m:t>
        </m:r>
        <m:r>
          <m:t>s</m:t>
        </m:r>
        <m:r>
          <m:t>t</m:t>
        </m:r>
        <m:r>
          <m:t>i</m:t>
        </m:r>
        <m:r>
          <m:t>m</m:t>
        </m:r>
        <m:r>
          <m:t>a</m:t>
        </m:r>
        <m:r>
          <m:t>t</m:t>
        </m:r>
        <m:r>
          <m:t>e</m:t>
        </m:r>
        <m:r>
          <m:t>o</m:t>
        </m:r>
        <m:r>
          <m:t>f</m:t>
        </m:r>
        <m:r>
          <m:t>a</m:t>
        </m:r>
        <m:r>
          <m:t>p</m:t>
        </m:r>
        <m:r>
          <m:t>p</m:t>
        </m:r>
        <m:r>
          <m:t>r</m:t>
        </m:r>
        <m:r>
          <m:t>o</m:t>
        </m:r>
        <m:r>
          <m:t>x</m:t>
        </m:r>
        <m:r>
          <m:t>i</m:t>
        </m:r>
        <m:r>
          <m:t>m</m:t>
        </m:r>
        <m:r>
          <m:t>a</m:t>
        </m:r>
        <m:r>
          <m:t>t</m:t>
        </m:r>
        <m:r>
          <m:t>e</m:t>
        </m:r>
        <m:r>
          <m:t>l</m:t>
        </m:r>
        <m:r>
          <m:t>y</m:t>
        </m:r>
        <m:r>
          <m:rPr>
            <m:sty m:val="p"/>
          </m:rPr>
          <m:t>*</m:t>
        </m:r>
        <m:r>
          <m:rPr>
            <m:sty m:val="p"/>
          </m:rPr>
          <m:t>*</m:t>
        </m:r>
      </m:oMath>
      <w:r>
        <w:rPr>
          <w:b/>
          <w:bCs/>
        </w:rPr>
        <w:t xml:space="preserve">500 million before tax</w:t>
      </w:r>
      <w:r>
        <w:t xml:space="preserve"> </w:t>
      </w:r>
      <w:r>
        <w:t xml:space="preserve">of tariff-related costs for the full year.</w:t>
      </w:r>
    </w:p>
    <w:p>
      <w:pPr>
        <w:pStyle w:val="BodyText"/>
      </w:pPr>
      <w:r>
        <w:t xml:space="preserve">The company’s cost exposure is broader than crude oil itself:</w:t>
      </w:r>
    </w:p>
    <w:p>
      <w:pPr>
        <w:pStyle w:val="Compact"/>
        <w:numPr>
          <w:ilvl w:val="0"/>
          <w:numId w:val="1002"/>
        </w:numPr>
      </w:pPr>
      <w:r>
        <w:t xml:space="preserve">petrochemical feedstocks and resins;</w:t>
      </w:r>
    </w:p>
    <w:p>
      <w:pPr>
        <w:pStyle w:val="Compact"/>
        <w:numPr>
          <w:ilvl w:val="0"/>
          <w:numId w:val="1002"/>
        </w:numPr>
      </w:pPr>
      <w:r>
        <w:t xml:space="preserve">alternative sourcing and reformulation costs;</w:t>
      </w:r>
    </w:p>
    <w:p>
      <w:pPr>
        <w:pStyle w:val="Compact"/>
        <w:numPr>
          <w:ilvl w:val="0"/>
          <w:numId w:val="1002"/>
        </w:numPr>
      </w:pPr>
      <w:r>
        <w:t xml:space="preserve">logistics, diesel, transportation, and inventory costs;</w:t>
      </w:r>
    </w:p>
    <w:p>
      <w:pPr>
        <w:pStyle w:val="Compact"/>
        <w:numPr>
          <w:ilvl w:val="0"/>
          <w:numId w:val="1002"/>
        </w:numPr>
      </w:pPr>
      <w:r>
        <w:t xml:space="preserve">potential supply availability issues.</w:t>
      </w:r>
    </w:p>
    <w:p>
      <w:pPr>
        <w:pStyle w:val="FirstParagraph"/>
      </w:pPr>
      <w:r>
        <w:t xml:space="preserve">Management framed the annualized impact of Brent crude around **</w:t>
      </w:r>
      <m:oMath>
        <m:r>
          <m:t>100</m:t>
        </m:r>
        <m:r>
          <m:rPr>
            <m:sty m:val="p"/>
          </m:rPr>
          <m:t>/</m:t>
        </m:r>
        <m:r>
          <m:t>b</m:t>
        </m:r>
        <m:r>
          <m:t>b</m:t>
        </m:r>
        <m:r>
          <m:t>l</m:t>
        </m:r>
        <m:r>
          <m:rPr>
            <m:sty m:val="p"/>
          </m:rPr>
          <m:t>*</m:t>
        </m:r>
        <m:r>
          <m:rPr>
            <m:sty m:val="p"/>
          </m:rPr>
          <m:t>*</m:t>
        </m:r>
        <m:r>
          <m:t>a</m:t>
        </m:r>
        <m:r>
          <m:t>s</m:t>
        </m:r>
        <m:r>
          <m:t>r</m:t>
        </m:r>
        <m:r>
          <m:t>o</m:t>
        </m:r>
        <m:r>
          <m:t>u</m:t>
        </m:r>
        <m:r>
          <m:t>g</m:t>
        </m:r>
        <m:r>
          <m:t>h</m:t>
        </m:r>
        <m:r>
          <m:t>l</m:t>
        </m:r>
        <m:r>
          <m:t>y</m:t>
        </m:r>
        <m:r>
          <m:rPr>
            <m:sty m:val="p"/>
          </m:rPr>
          <m:t>*</m:t>
        </m:r>
        <m:r>
          <m:rPr>
            <m:sty m:val="p"/>
          </m:rPr>
          <m:t>*</m:t>
        </m:r>
      </m:oMath>
      <w:r>
        <w:t xml:space="preserve">1.3 billion pretax /</w:t>
      </w:r>
      <w:r>
        <w:t xml:space="preserve"> </w:t>
      </w:r>
      <m:oMath>
        <m:r>
          <m:t>1</m:t>
        </m:r>
        <m:r>
          <m:t>b</m:t>
        </m:r>
        <m:r>
          <m:t>i</m:t>
        </m:r>
        <m:r>
          <m:t>l</m:t>
        </m:r>
        <m:r>
          <m:t>l</m:t>
        </m:r>
        <m:r>
          <m:t>i</m:t>
        </m:r>
        <m:r>
          <m:t>o</m:t>
        </m:r>
        <m:r>
          <m:t>n</m:t>
        </m:r>
        <m:r>
          <m:t>a</m:t>
        </m:r>
        <m:r>
          <m:t>f</m:t>
        </m:r>
        <m:r>
          <m:t>t</m:t>
        </m:r>
        <m:r>
          <m:t>e</m:t>
        </m:r>
        <m:r>
          <m:t>r</m:t>
        </m:r>
        <m:r>
          <m:t>t</m:t>
        </m:r>
        <m:r>
          <m:t>a</m:t>
        </m:r>
        <m:r>
          <m:t>x</m:t>
        </m:r>
        <m:r>
          <m:rPr>
            <m:sty m:val="p"/>
          </m:rPr>
          <m:t>*</m:t>
        </m:r>
        <m:r>
          <m:rPr>
            <m:sty m:val="p"/>
          </m:rPr>
          <m:t>*</m:t>
        </m:r>
        <m:r>
          <m:t>v</m:t>
        </m:r>
        <m:r>
          <m:t>e</m:t>
        </m:r>
        <m:r>
          <m:t>r</m:t>
        </m:r>
        <m:r>
          <m:t>s</m:t>
        </m:r>
        <m:r>
          <m:t>u</m:t>
        </m:r>
        <m:r>
          <m:t>s</m:t>
        </m:r>
        <m:r>
          <m:t>p</m:t>
        </m:r>
        <m:r>
          <m:t>r</m:t>
        </m:r>
        <m:r>
          <m:t>e</m:t>
        </m:r>
        <m:r>
          <m:rPr>
            <m:sty m:val="p"/>
          </m:rPr>
          <m:t>−</m:t>
        </m:r>
        <m:r>
          <m:t>c</m:t>
        </m:r>
        <m:r>
          <m:t>o</m:t>
        </m:r>
        <m:r>
          <m:t>n</m:t>
        </m:r>
        <m:r>
          <m:t>f</m:t>
        </m:r>
        <m:r>
          <m:t>l</m:t>
        </m:r>
        <m:r>
          <m:t>i</m:t>
        </m:r>
        <m:r>
          <m:t>c</m:t>
        </m:r>
        <m:r>
          <m:t>t</m:t>
        </m:r>
        <m:r>
          <m:t>o</m:t>
        </m:r>
        <m:r>
          <m:t>i</m:t>
        </m:r>
        <m:r>
          <m:t>l</m:t>
        </m:r>
        <m:r>
          <m:t>i</m:t>
        </m:r>
        <m:r>
          <m:t>n</m:t>
        </m:r>
        <m:r>
          <m:t>t</m:t>
        </m:r>
        <m:r>
          <m:t>h</m:t>
        </m:r>
        <m:r>
          <m:t>e</m:t>
        </m:r>
        <m:r>
          <m:t>m</m:t>
        </m:r>
        <m:r>
          <m:t>i</m:t>
        </m:r>
        <m:r>
          <m:t>d</m:t>
        </m:r>
        <m:r>
          <m:rPr>
            <m:sty m:val="p"/>
          </m:rPr>
          <m:t>−</m:t>
        </m:r>
      </m:oMath>
      <w:r>
        <w:t xml:space="preserve">60s. That sensitivity makes the fiscal-2027 cost assumption highly market-moving.</w:t>
      </w:r>
    </w:p>
    <w:p>
      <w:pPr>
        <w:pStyle w:val="BodyText"/>
      </w:pPr>
      <w:r>
        <w:rPr>
          <w:b/>
          <w:bCs/>
        </w:rPr>
        <w:t xml:space="preserve">What would be constructive</w:t>
      </w:r>
    </w:p>
    <w:p>
      <w:pPr>
        <w:pStyle w:val="Compact"/>
        <w:numPr>
          <w:ilvl w:val="0"/>
          <w:numId w:val="1003"/>
        </w:numPr>
      </w:pPr>
      <w:r>
        <w:t xml:space="preserve">Productivity above the company’s normal run-rate and evidence that Supply Chain 3.0 automation can be accelerated.</w:t>
      </w:r>
    </w:p>
    <w:p>
      <w:pPr>
        <w:pStyle w:val="Compact"/>
        <w:numPr>
          <w:ilvl w:val="0"/>
          <w:numId w:val="1003"/>
        </w:numPr>
      </w:pPr>
      <w:r>
        <w:t xml:space="preserve">Stable gross margin relative to cautious expectations, even if it remains below last year.</w:t>
      </w:r>
    </w:p>
    <w:p>
      <w:pPr>
        <w:pStyle w:val="Compact"/>
        <w:numPr>
          <w:ilvl w:val="0"/>
          <w:numId w:val="1003"/>
        </w:numPr>
      </w:pPr>
      <w:r>
        <w:t xml:space="preserve">Clear evidence that incremental brand investment is lifting volume, trial, or share rather than simply diluting margins.</w:t>
      </w:r>
    </w:p>
    <w:p>
      <w:pPr>
        <w:pStyle w:val="FirstParagraph"/>
      </w:pPr>
      <w:r>
        <w:rPr>
          <w:b/>
          <w:bCs/>
        </w:rPr>
        <w:t xml:space="preserve">What would concern investors</w:t>
      </w:r>
    </w:p>
    <w:p>
      <w:pPr>
        <w:pStyle w:val="Compact"/>
        <w:numPr>
          <w:ilvl w:val="0"/>
          <w:numId w:val="1004"/>
        </w:numPr>
      </w:pPr>
      <w:r>
        <w:t xml:space="preserve">Cost headwinds rising materially above the April framework.</w:t>
      </w:r>
    </w:p>
    <w:p>
      <w:pPr>
        <w:pStyle w:val="Compact"/>
        <w:numPr>
          <w:ilvl w:val="0"/>
          <w:numId w:val="1004"/>
        </w:numPr>
      </w:pPr>
      <w:r>
        <w:t xml:space="preserve">A broad-based pricing response that risks consumer pushback.</w:t>
      </w:r>
    </w:p>
    <w:p>
      <w:pPr>
        <w:pStyle w:val="Compact"/>
        <w:numPr>
          <w:ilvl w:val="0"/>
          <w:numId w:val="1004"/>
        </w:numPr>
      </w:pPr>
      <w:r>
        <w:t xml:space="preserve">Further margin deterioration without a credible route to earnings growth in fiscal 2027.</w:t>
      </w:r>
    </w:p>
    <w:p>
      <w:r>
        <w:pict>
          <v:rect style="width:0;height:1.5pt" o:hralign="center" o:hrstd="t" o:hr="t"/>
        </w:pict>
      </w:r>
    </w:p>
    <w:bookmarkEnd w:id="11"/>
    <w:bookmarkStart w:id="12" w:name="X27d2a495d6db86f2ed88502c142ddde37fbb356"/>
    <w:p>
      <w:pPr>
        <w:pStyle w:val="Heading3"/>
      </w:pPr>
      <w:r>
        <w:t xml:space="preserve">3. Fiscal 2027 guidance is likely the real catalyst</w:t>
      </w:r>
    </w:p>
    <w:p>
      <w:pPr>
        <w:pStyle w:val="FirstParagraph"/>
      </w:pPr>
      <w:r>
        <w:t xml:space="preserve">For fiscal 2026, PG maintained guidance for:</w:t>
      </w:r>
    </w:p>
    <w:p>
      <w:pPr>
        <w:pStyle w:val="Compact"/>
        <w:numPr>
          <w:ilvl w:val="0"/>
          <w:numId w:val="1005"/>
        </w:numPr>
      </w:pPr>
      <w:r>
        <w:rPr>
          <w:b/>
          <w:bCs/>
        </w:rPr>
        <w:t xml:space="preserve">Organic sales growth:</w:t>
      </w:r>
      <w:r>
        <w:t xml:space="preserve"> </w:t>
      </w:r>
      <w:r>
        <w:t xml:space="preserve">flat to +4%;</w:t>
      </w:r>
    </w:p>
    <w:p>
      <w:pPr>
        <w:pStyle w:val="Compact"/>
        <w:numPr>
          <w:ilvl w:val="0"/>
          <w:numId w:val="1005"/>
        </w:numPr>
      </w:pPr>
      <w:r>
        <w:rPr>
          <w:b/>
          <w:bCs/>
        </w:rPr>
        <w:t xml:space="preserve">Core EPS growth:</w:t>
      </w:r>
      <w:r>
        <w:t xml:space="preserve"> </w:t>
      </w:r>
      <w:r>
        <w:t xml:space="preserve">flat to +4%, or</w:t>
      </w:r>
      <w:r>
        <w:t xml:space="preserve"> </w:t>
      </w:r>
      <m:oMath>
        <m:r>
          <m:t>6.83</m:t>
        </m:r>
        <m:r>
          <m:rPr>
            <m:sty m:val="p"/>
          </m:rPr>
          <m:t>–</m:t>
        </m:r>
      </m:oMath>
      <w:r>
        <w:rPr>
          <w:b/>
          <w:bCs/>
        </w:rPr>
        <w:t xml:space="preserve">7.09</w:t>
      </w:r>
      <w:r>
        <w:t xml:space="preserve">;</w:t>
      </w:r>
    </w:p>
    <w:p>
      <w:pPr>
        <w:pStyle w:val="Compact"/>
        <w:numPr>
          <w:ilvl w:val="0"/>
          <w:numId w:val="1005"/>
        </w:numPr>
      </w:pPr>
      <w:r>
        <w:rPr>
          <w:b/>
          <w:bCs/>
        </w:rPr>
        <w:t xml:space="preserve">Adjusted free-cash-flow productivity:</w:t>
      </w:r>
      <w:r>
        <w:t xml:space="preserve"> </w:t>
      </w:r>
      <w:r>
        <w:rPr>
          <w:b/>
          <w:bCs/>
        </w:rPr>
        <w:t xml:space="preserve">85%–90%</w:t>
      </w:r>
      <w:r>
        <w:t xml:space="preserve">.</w:t>
      </w:r>
    </w:p>
    <w:p>
      <w:pPr>
        <w:pStyle w:val="FirstParagraph"/>
      </w:pPr>
      <w:r>
        <w:t xml:space="preserve">Management said in April it expected to finish toward the</w:t>
      </w:r>
      <w:r>
        <w:t xml:space="preserve"> </w:t>
      </w:r>
      <w:r>
        <w:rPr>
          <w:b/>
          <w:bCs/>
        </w:rPr>
        <w:t xml:space="preserve">lower end</w:t>
      </w:r>
      <w:r>
        <w:t xml:space="preserve"> </w:t>
      </w:r>
      <w:r>
        <w:t xml:space="preserve">of the EPS range. Using the fiscal 3Q year-to-date core EPS of</w:t>
      </w:r>
      <w:r>
        <w:t xml:space="preserve"> </w:t>
      </w:r>
      <m:oMath>
        <m:r>
          <m:t>5.46</m:t>
        </m:r>
        <m:r>
          <m:rPr>
            <m:sty m:val="p"/>
          </m:rPr>
          <m:t>*</m:t>
        </m:r>
        <m:r>
          <m:rPr>
            <m:sty m:val="p"/>
          </m:rPr>
          <m:t>*</m:t>
        </m:r>
        <m:r>
          <m:t>a</m:t>
        </m:r>
        <m:r>
          <m:t>n</m:t>
        </m:r>
        <m:r>
          <m:t>d</m:t>
        </m:r>
        <m:r>
          <m:t>t</m:t>
        </m:r>
        <m:r>
          <m:t>h</m:t>
        </m:r>
        <m:r>
          <m:t>e</m:t>
        </m:r>
        <m:r>
          <m:t>S</m:t>
        </m:r>
        <m:r>
          <m:t>t</m:t>
        </m:r>
        <m:r>
          <m:t>r</m:t>
        </m:r>
        <m:r>
          <m:t>e</m:t>
        </m:r>
        <m:r>
          <m:t>e</m:t>
        </m:r>
        <m:r>
          <m:t>t</m:t>
        </m:r>
        <m:r>
          <m:rPr>
            <m:sty m:val="p"/>
          </m:rPr>
          <m:t>’</m:t>
        </m:r>
        <m:r>
          <m:t>s</m:t>
        </m:r>
        <m:r>
          <m:t>r</m:t>
        </m:r>
        <m:r>
          <m:t>o</m:t>
        </m:r>
        <m:r>
          <m:t>u</m:t>
        </m:r>
        <m:r>
          <m:t>g</m:t>
        </m:r>
        <m:r>
          <m:t>h</m:t>
        </m:r>
        <m:r>
          <m:t>l</m:t>
        </m:r>
        <m:r>
          <m:t>y</m:t>
        </m:r>
        <m:r>
          <m:rPr>
            <m:sty m:val="p"/>
          </m:rPr>
          <m:t>*</m:t>
        </m:r>
        <m:r>
          <m:rPr>
            <m:sty m:val="p"/>
          </m:rPr>
          <m:t>*</m:t>
        </m:r>
      </m:oMath>
      <w:r>
        <w:rPr>
          <w:b/>
          <w:bCs/>
        </w:rPr>
        <w:t xml:space="preserve">1.42</w:t>
      </w:r>
      <w:r>
        <w:t xml:space="preserve"> </w:t>
      </w:r>
      <w:r>
        <w:t xml:space="preserve">4Q expectation implies fiscal-2026 core EPS near</w:t>
      </w:r>
      <w:r>
        <w:t xml:space="preserve"> </w:t>
      </w:r>
      <w:r>
        <w:rPr>
          <w:b/>
          <w:bCs/>
        </w:rPr>
        <w:t xml:space="preserve">$6.88</w:t>
      </w:r>
      <w:r>
        <w:t xml:space="preserve">, consistent with that low-end framing.</w:t>
      </w:r>
    </w:p>
    <w:p>
      <w:pPr>
        <w:pStyle w:val="BodyText"/>
      </w:pPr>
      <w:r>
        <w:t xml:space="preserve">For fiscal 2027, the key issue is whether PG can retain an earnings-growth algorithm while funding reinvestment and absorbing a potentially significant cost headwind. Management’s April commentary was deliberately noncommittal, but it emphasized three potential offsets:</w:t>
      </w:r>
    </w:p>
    <w:p>
      <w:pPr>
        <w:pStyle w:val="Compact"/>
        <w:numPr>
          <w:ilvl w:val="0"/>
          <w:numId w:val="1006"/>
        </w:numPr>
      </w:pPr>
      <w:r>
        <w:rPr>
          <w:b/>
          <w:bCs/>
        </w:rPr>
        <w:t xml:space="preserve">Productivity</w:t>
      </w:r>
      <w:r>
        <w:t xml:space="preserve"> </w:t>
      </w:r>
      <w:r>
        <w:t xml:space="preserve">— including accelerated automation, unattended-shift models, warehousing automation, and supply-chain digitization;</w:t>
      </w:r>
    </w:p>
    <w:p>
      <w:pPr>
        <w:pStyle w:val="Compact"/>
        <w:numPr>
          <w:ilvl w:val="0"/>
          <w:numId w:val="1006"/>
        </w:numPr>
      </w:pPr>
      <w:r>
        <w:rPr>
          <w:b/>
          <w:bCs/>
        </w:rPr>
        <w:t xml:space="preserve">Innovation-led pricing</w:t>
      </w:r>
      <w:r>
        <w:t xml:space="preserve"> </w:t>
      </w:r>
      <w:r>
        <w:t xml:space="preserve">— price increases tied to visibly better performance rather than across-the-board price actions;</w:t>
      </w:r>
    </w:p>
    <w:p>
      <w:pPr>
        <w:pStyle w:val="Compact"/>
        <w:numPr>
          <w:ilvl w:val="0"/>
          <w:numId w:val="1006"/>
        </w:numPr>
      </w:pPr>
      <w:r>
        <w:rPr>
          <w:b/>
          <w:bCs/>
        </w:rPr>
        <w:t xml:space="preserve">Portfolio and resource allocation</w:t>
      </w:r>
      <w:r>
        <w:t xml:space="preserve"> </w:t>
      </w:r>
      <w:r>
        <w:t xml:space="preserve">— protecting spending behind businesses where interventions are gaining traction.</w:t>
      </w:r>
    </w:p>
    <w:p>
      <w:pPr>
        <w:pStyle w:val="FirstParagraph"/>
      </w:pPr>
      <w:r>
        <w:t xml:space="preserve">A fiscal-2027 outlook for positive organic growth and positive core-EPS growth—even if conservative—would likely be taken well. Guidance that implies flat-to-down EPS because costs overwhelm productivity and pricing would be the primary downside risk.</w:t>
      </w:r>
    </w:p>
    <w:p>
      <w:r>
        <w:pict>
          <v:rect style="width:0;height:1.5pt" o:hralign="center" o:hrstd="t" o:hr="t"/>
        </w:pict>
      </w:r>
    </w:p>
    <w:bookmarkEnd w:id="12"/>
    <w:bookmarkEnd w:id="13"/>
    <w:bookmarkStart w:id="14" w:name="businesses-and-geographies-to-watch"/>
    <w:p>
      <w:pPr>
        <w:pStyle w:val="Heading2"/>
      </w:pPr>
      <w:r>
        <w:t xml:space="preserve">Businesses and geographies to watch</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Area</w:t>
            </w:r>
          </w:p>
        </w:tc>
        <w:tc>
          <w:tcPr/>
          <w:p>
            <w:pPr>
              <w:pStyle w:val="Compact"/>
            </w:pPr>
            <w:r>
              <w:t xml:space="preserve">Why it matters</w:t>
            </w:r>
          </w:p>
        </w:tc>
        <w:tc>
          <w:tcPr/>
          <w:p>
            <w:pPr>
              <w:pStyle w:val="Compact"/>
            </w:pPr>
            <w:r>
              <w:t xml:space="preserve">Fiscal 3Q starting point</w:t>
            </w:r>
          </w:p>
        </w:tc>
      </w:tr>
      <w:tr>
        <w:tc>
          <w:tcPr/>
          <w:p>
            <w:pPr>
              <w:pStyle w:val="Compact"/>
            </w:pPr>
            <w:r>
              <w:rPr>
                <w:b/>
                <w:bCs/>
              </w:rPr>
              <w:t xml:space="preserve">Fabric &amp; Home Care</w:t>
            </w:r>
          </w:p>
        </w:tc>
        <w:tc>
          <w:tcPr/>
          <w:p>
            <w:pPr>
              <w:pStyle w:val="Compact"/>
            </w:pPr>
            <w:r>
              <w:t xml:space="preserve">PG’s largest segment; Tide and Home Care innovation are central to the North American growth story.</w:t>
            </w:r>
          </w:p>
        </w:tc>
        <w:tc>
          <w:tcPr/>
          <w:p>
            <w:pPr>
              <w:pStyle w:val="Compact"/>
            </w:pPr>
            <w:r>
              <w:t xml:space="preserve">Organic sales +3%; Fabric Care low-single-digit growth and Home Care mid-single-digit growth.</w:t>
            </w:r>
          </w:p>
        </w:tc>
      </w:tr>
      <w:tr>
        <w:tc>
          <w:tcPr/>
          <w:p>
            <w:pPr>
              <w:pStyle w:val="Compact"/>
            </w:pPr>
            <w:r>
              <w:rPr>
                <w:b/>
                <w:bCs/>
              </w:rPr>
              <w:t xml:space="preserve">Beauty</w:t>
            </w:r>
          </w:p>
        </w:tc>
        <w:tc>
          <w:tcPr/>
          <w:p>
            <w:pPr>
              <w:pStyle w:val="Compact"/>
            </w:pPr>
            <w:r>
              <w:t xml:space="preserve">Strongest growth but mixed share trends; investors will test whether innovation can convert growth into durable share gains.</w:t>
            </w:r>
          </w:p>
        </w:tc>
        <w:tc>
          <w:tcPr/>
          <w:p>
            <w:pPr>
              <w:pStyle w:val="Compact"/>
            </w:pPr>
            <w:r>
              <w:t xml:space="preserve">Organic sales +7%; Skin Care, Personal Care, and Hair Care all grew strongly.</w:t>
            </w:r>
          </w:p>
        </w:tc>
      </w:tr>
      <w:tr>
        <w:tc>
          <w:tcPr/>
          <w:p>
            <w:pPr>
              <w:pStyle w:val="Compact"/>
            </w:pPr>
            <w:r>
              <w:rPr>
                <w:b/>
                <w:bCs/>
              </w:rPr>
              <w:t xml:space="preserve">Baby Care</w:t>
            </w:r>
          </w:p>
        </w:tc>
        <w:tc>
          <w:tcPr/>
          <w:p>
            <w:pPr>
              <w:pStyle w:val="Compact"/>
            </w:pPr>
            <w:r>
              <w:t xml:space="preserve">A major opportunity in the U.S., where competition remains a problem.</w:t>
            </w:r>
          </w:p>
        </w:tc>
        <w:tc>
          <w:tcPr/>
          <w:p>
            <w:pPr>
              <w:pStyle w:val="Compact"/>
            </w:pPr>
            <w:r>
              <w:t xml:space="preserve">Global growth improved, but North American Baby Care volume declined due to competitive activity.</w:t>
            </w:r>
          </w:p>
        </w:tc>
      </w:tr>
      <w:tr>
        <w:tc>
          <w:tcPr/>
          <w:p>
            <w:pPr>
              <w:pStyle w:val="Compact"/>
            </w:pPr>
            <w:r>
              <w:rPr>
                <w:b/>
                <w:bCs/>
              </w:rPr>
              <w:t xml:space="preserve">Family Care</w:t>
            </w:r>
          </w:p>
        </w:tc>
        <w:tc>
          <w:tcPr/>
          <w:p>
            <w:pPr>
              <w:pStyle w:val="Compact"/>
            </w:pPr>
            <w:r>
              <w:t xml:space="preserve">3Q benefited from an easier inventory comparison, so 4Q needs a cleaner demand read.</w:t>
            </w:r>
          </w:p>
        </w:tc>
        <w:tc>
          <w:tcPr/>
          <w:p>
            <w:pPr>
              <w:pStyle w:val="Compact"/>
            </w:pPr>
            <w:r>
              <w:t xml:space="preserve">Mid-single-digit organic growth, but North America share declined 80 bps.</w:t>
            </w:r>
          </w:p>
        </w:tc>
      </w:tr>
      <w:tr>
        <w:tc>
          <w:tcPr/>
          <w:p>
            <w:pPr>
              <w:pStyle w:val="Compact"/>
            </w:pPr>
            <w:r>
              <w:rPr>
                <w:b/>
                <w:bCs/>
              </w:rPr>
              <w:t xml:space="preserve">Greater China</w:t>
            </w:r>
          </w:p>
        </w:tc>
        <w:tc>
          <w:tcPr/>
          <w:p>
            <w:pPr>
              <w:pStyle w:val="Compact"/>
            </w:pPr>
            <w:r>
              <w:t xml:space="preserve">Improvement has been real, but the consumer backdrop remains fragile and category demand uneven.</w:t>
            </w:r>
          </w:p>
        </w:tc>
        <w:tc>
          <w:tcPr/>
          <w:p>
            <w:pPr>
              <w:pStyle w:val="Compact"/>
            </w:pPr>
            <w:r>
              <w:t xml:space="preserve">Organic sales +3%; Pampers and SK-II each grew double digits.</w:t>
            </w:r>
          </w:p>
        </w:tc>
      </w:tr>
      <w:tr>
        <w:tc>
          <w:tcPr/>
          <w:p>
            <w:pPr>
              <w:pStyle w:val="Compact"/>
            </w:pPr>
            <w:r>
              <w:rPr>
                <w:b/>
                <w:bCs/>
              </w:rPr>
              <w:t xml:space="preserve">Grooming</w:t>
            </w:r>
          </w:p>
        </w:tc>
        <w:tc>
          <w:tcPr/>
          <w:p>
            <w:pPr>
              <w:pStyle w:val="Compact"/>
            </w:pPr>
            <w:r>
              <w:t xml:space="preserve">A weak point: market contraction and competition make it a test of the portfolio’s breadth.</w:t>
            </w:r>
          </w:p>
        </w:tc>
        <w:tc>
          <w:tcPr/>
          <w:p>
            <w:pPr>
              <w:pStyle w:val="Compact"/>
            </w:pPr>
            <w:r>
              <w:t xml:space="preserve">Organic sales +1%; global segment share declined 40 bps.</w:t>
            </w:r>
          </w:p>
        </w:tc>
      </w:tr>
    </w:tbl>
    <w:p>
      <w:r>
        <w:pict>
          <v:rect style="width:0;height:1.5pt" o:hralign="center" o:hrstd="t" o:hr="t"/>
        </w:pict>
      </w:r>
    </w:p>
    <w:bookmarkEnd w:id="14"/>
    <w:bookmarkStart w:id="15" w:name="restructuring-and-cash-deployment"/>
    <w:p>
      <w:pPr>
        <w:pStyle w:val="Heading2"/>
      </w:pPr>
      <w:r>
        <w:t xml:space="preserve">Restructuring and cash deployment</w:t>
      </w:r>
    </w:p>
    <w:p>
      <w:pPr>
        <w:pStyle w:val="FirstParagraph"/>
      </w:pPr>
      <w:r>
        <w:t xml:space="preserve">PG’s portfolio and productivity plan remains an important medium-term earnings lever. The program contemplates approximately</w:t>
      </w:r>
      <w:r>
        <w:t xml:space="preserve"> </w:t>
      </w:r>
      <m:oMath>
        <m:r>
          <m:t>1.5</m:t>
        </m:r>
        <m:r>
          <m:rPr>
            <m:sty m:val="p"/>
          </m:rPr>
          <m:t>–</m:t>
        </m:r>
      </m:oMath>
      <w:r>
        <w:rPr>
          <w:b/>
          <w:bCs/>
        </w:rPr>
        <w:t xml:space="preserve">2.0 billion of pretax restructuring costs</w:t>
      </w:r>
      <w:r>
        <w:t xml:space="preserve"> </w:t>
      </w:r>
      <w:r>
        <w:t xml:space="preserve">over two years, including up to</w:t>
      </w:r>
      <w:r>
        <w:t xml:space="preserve"> </w:t>
      </w:r>
      <w:r>
        <w:rPr>
          <w:b/>
          <w:bCs/>
        </w:rPr>
        <w:t xml:space="preserve">7,000 non-manufacturing role reductions</w:t>
      </w:r>
      <w:r>
        <w:t xml:space="preserve"> </w:t>
      </w:r>
      <w:r>
        <w:t xml:space="preserve">by the end of fiscal 2027, portfolio and market exits, and supply-chain optimization.</w:t>
      </w:r>
    </w:p>
    <w:p>
      <w:pPr>
        <w:pStyle w:val="BodyText"/>
      </w:pPr>
      <w:r>
        <w:t xml:space="preserve">The trade-off is clear: near-term restructuring charges and investment are pressuring reported margins, but successful execution should improve the cost structure and decision-making speed over time.</w:t>
      </w:r>
    </w:p>
    <w:p>
      <w:pPr>
        <w:pStyle w:val="BodyText"/>
      </w:pPr>
      <w:r>
        <w:t xml:space="preserve">Cash return remains a support to the equity story. In fiscal 3Q, PG returned</w:t>
      </w:r>
      <w:r>
        <w:t xml:space="preserve"> </w:t>
      </w:r>
      <m:oMath>
        <m:r>
          <m:t>3.2</m:t>
        </m:r>
        <m:r>
          <m:t>b</m:t>
        </m:r>
        <m:r>
          <m:t>i</m:t>
        </m:r>
        <m:r>
          <m:t>l</m:t>
        </m:r>
        <m:r>
          <m:t>l</m:t>
        </m:r>
        <m:r>
          <m:t>i</m:t>
        </m:r>
        <m:r>
          <m:t>o</m:t>
        </m:r>
        <m:r>
          <m:t>n</m:t>
        </m:r>
        <m:r>
          <m:rPr>
            <m:sty m:val="p"/>
          </m:rPr>
          <m:t>*</m:t>
        </m:r>
        <m:r>
          <m:rPr>
            <m:sty m:val="p"/>
          </m:rPr>
          <m:t>*</m:t>
        </m:r>
        <m:r>
          <m:t>t</m:t>
        </m:r>
        <m:r>
          <m:t>o</m:t>
        </m:r>
        <m:r>
          <m:t>s</m:t>
        </m:r>
        <m:r>
          <m:t>h</m:t>
        </m:r>
        <m:r>
          <m:t>a</m:t>
        </m:r>
        <m:r>
          <m:t>r</m:t>
        </m:r>
        <m:r>
          <m:t>e</m:t>
        </m:r>
        <m:r>
          <m:t>h</m:t>
        </m:r>
        <m:r>
          <m:t>o</m:t>
        </m:r>
        <m:r>
          <m:t>l</m:t>
        </m:r>
        <m:r>
          <m:t>d</m:t>
        </m:r>
        <m:r>
          <m:t>e</m:t>
        </m:r>
        <m:r>
          <m:t>r</m:t>
        </m:r>
        <m:r>
          <m:t>s</m:t>
        </m:r>
        <m:r>
          <m:rPr>
            <m:sty m:val="p"/>
          </m:rPr>
          <m:t>,</m:t>
        </m:r>
        <m:r>
          <m:t>i</m:t>
        </m:r>
        <m:r>
          <m:t>n</m:t>
        </m:r>
        <m:r>
          <m:t>c</m:t>
        </m:r>
        <m:r>
          <m:t>l</m:t>
        </m:r>
        <m:r>
          <m:t>u</m:t>
        </m:r>
        <m:r>
          <m:t>d</m:t>
        </m:r>
        <m:r>
          <m:t>i</m:t>
        </m:r>
        <m:r>
          <m:t>n</m:t>
        </m:r>
        <m:r>
          <m:t>g</m:t>
        </m:r>
        <m:r>
          <m:rPr>
            <m:sty m:val="p"/>
          </m:rPr>
          <m:t>*</m:t>
        </m:r>
        <m:r>
          <m:rPr>
            <m:sty m:val="p"/>
          </m:rPr>
          <m:t>*</m:t>
        </m:r>
      </m:oMath>
      <w:r>
        <w:rPr>
          <w:b/>
          <w:bCs/>
        </w:rPr>
        <w:t xml:space="preserve">2.5 billion in dividends</w:t>
      </w:r>
      <w:r>
        <w:t xml:space="preserve"> </w:t>
      </w:r>
      <w:r>
        <w:t xml:space="preserve">and more than</w:t>
      </w:r>
      <w:r>
        <w:t xml:space="preserve"> </w:t>
      </w:r>
      <m:oMath>
        <m:r>
          <m:t>600</m:t>
        </m:r>
        <m:r>
          <m:t>m</m:t>
        </m:r>
        <m:r>
          <m:t>i</m:t>
        </m:r>
        <m:r>
          <m:t>l</m:t>
        </m:r>
        <m:r>
          <m:t>l</m:t>
        </m:r>
        <m:r>
          <m:t>i</m:t>
        </m:r>
        <m:r>
          <m:t>o</m:t>
        </m:r>
        <m:r>
          <m:t>n</m:t>
        </m:r>
        <m:r>
          <m:t>o</m:t>
        </m:r>
        <m:r>
          <m:t>f</m:t>
        </m:r>
        <m:r>
          <m:t>r</m:t>
        </m:r>
        <m:r>
          <m:t>e</m:t>
        </m:r>
        <m:r>
          <m:t>p</m:t>
        </m:r>
        <m:r>
          <m:t>u</m:t>
        </m:r>
        <m:r>
          <m:t>r</m:t>
        </m:r>
        <m:r>
          <m:t>c</m:t>
        </m:r>
        <m:r>
          <m:t>h</m:t>
        </m:r>
        <m:r>
          <m:t>a</m:t>
        </m:r>
        <m:r>
          <m:t>s</m:t>
        </m:r>
        <m:r>
          <m:t>e</m:t>
        </m:r>
        <m:r>
          <m:t>s</m:t>
        </m:r>
        <m:r>
          <m:rPr>
            <m:sty m:val="p"/>
          </m:rPr>
          <m:t>*</m:t>
        </m:r>
        <m:r>
          <m:rPr>
            <m:sty m:val="p"/>
          </m:rPr>
          <m:t>*</m:t>
        </m:r>
        <m:r>
          <m:rPr>
            <m:sty m:val="p"/>
          </m:rPr>
          <m:t>.</m:t>
        </m:r>
        <m:r>
          <m:t>F</m:t>
        </m:r>
        <m:r>
          <m:t>o</m:t>
        </m:r>
        <m:r>
          <m:t>r</m:t>
        </m:r>
        <m:r>
          <m:t>f</m:t>
        </m:r>
        <m:r>
          <m:t>i</m:t>
        </m:r>
        <m:r>
          <m:t>s</m:t>
        </m:r>
        <m:r>
          <m:t>c</m:t>
        </m:r>
        <m:r>
          <m:t>a</m:t>
        </m:r>
        <m:r>
          <m:t>l</m:t>
        </m:r>
        <m:r>
          <m:t>2026</m:t>
        </m:r>
        <m:r>
          <m:rPr>
            <m:sty m:val="p"/>
          </m:rPr>
          <m:t>,</m:t>
        </m:r>
        <m:r>
          <m:t>i</m:t>
        </m:r>
        <m:r>
          <m:t>t</m:t>
        </m:r>
        <m:r>
          <m:t>h</m:t>
        </m:r>
        <m:r>
          <m:t>a</m:t>
        </m:r>
        <m:r>
          <m:t>d</m:t>
        </m:r>
        <m:r>
          <m:t>p</m:t>
        </m:r>
        <m:r>
          <m:t>l</m:t>
        </m:r>
        <m:r>
          <m:t>a</m:t>
        </m:r>
        <m:r>
          <m:t>n</m:t>
        </m:r>
        <m:r>
          <m:t>n</m:t>
        </m:r>
        <m:r>
          <m:t>e</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10 billion of dividends</w:t>
      </w:r>
      <w:r>
        <w:t xml:space="preserve"> </w:t>
      </w:r>
      <w:r>
        <w:t xml:space="preserve">and</w:t>
      </w:r>
      <w:r>
        <w:t xml:space="preserve"> </w:t>
      </w:r>
      <w:r>
        <w:rPr>
          <w:b/>
          <w:bCs/>
        </w:rPr>
        <w:t xml:space="preserve">$5 billion of buybacks</w:t>
      </w:r>
      <w:r>
        <w:t xml:space="preserve">. The dividend was raised 3% earlier this year—its</w:t>
      </w:r>
      <w:r>
        <w:t xml:space="preserve"> </w:t>
      </w:r>
      <w:r>
        <w:rPr>
          <w:b/>
          <w:bCs/>
        </w:rPr>
        <w:t xml:space="preserve">70th consecutive annual increase</w:t>
      </w:r>
      <w:r>
        <w:t xml:space="preserve">.</w:t>
      </w:r>
    </w:p>
    <w:p>
      <w:r>
        <w:pict>
          <v:rect style="width:0;height:1.5pt" o:hralign="center" o:hrstd="t" o:hr="t"/>
        </w:pict>
      </w:r>
    </w:p>
    <w:bookmarkEnd w:id="15"/>
    <w:bookmarkStart w:id="16" w:name="stock-setup"/>
    <w:p>
      <w:pPr>
        <w:pStyle w:val="Heading2"/>
      </w:pPr>
      <w:r>
        <w:t xml:space="preserve">Stock setup</w:t>
      </w:r>
    </w:p>
    <w:p>
      <w:pPr>
        <w:pStyle w:val="FirstParagraph"/>
      </w:pPr>
      <w:r>
        <w:t xml:space="preserve">PG closed at</w:t>
      </w:r>
      <w:r>
        <w:t xml:space="preserve"> </w:t>
      </w:r>
      <m:oMath>
        <m:r>
          <m:t>148.91</m:t>
        </m:r>
        <m:r>
          <m:t>o</m:t>
        </m:r>
        <m:r>
          <m:t>n</m:t>
        </m:r>
        <m:r>
          <m:t>J</m:t>
        </m:r>
        <m:r>
          <m:t>u</m:t>
        </m:r>
        <m:r>
          <m:t>l</m:t>
        </m:r>
        <m:r>
          <m:t>y</m:t>
        </m:r>
        <m:r>
          <m:t>28</m:t>
        </m:r>
        <m:r>
          <m:rPr>
            <m:sty m:val="p"/>
          </m:rPr>
          <m:t>*</m:t>
        </m:r>
        <m:r>
          <m:rPr>
            <m:sty m:val="p"/>
          </m:rPr>
          <m:t>*</m:t>
        </m:r>
        <m:r>
          <m:rPr>
            <m:sty m:val="p"/>
          </m:rPr>
          <m:t>,</m:t>
        </m:r>
        <m:r>
          <m:t>e</m:t>
        </m:r>
        <m:r>
          <m:t>s</m:t>
        </m:r>
        <m:r>
          <m:t>s</m:t>
        </m:r>
        <m:r>
          <m:t>e</m:t>
        </m:r>
        <m:r>
          <m:t>n</m:t>
        </m:r>
        <m:r>
          <m:t>t</m:t>
        </m:r>
        <m:r>
          <m:t>i</m:t>
        </m:r>
        <m:r>
          <m:t>a</m:t>
        </m:r>
        <m:r>
          <m:t>l</m:t>
        </m:r>
        <m:r>
          <m:t>l</m:t>
        </m:r>
        <m:r>
          <m:t>y</m:t>
        </m:r>
        <m:r>
          <m:t>u</m:t>
        </m:r>
        <m:r>
          <m:t>n</m:t>
        </m:r>
        <m:r>
          <m:t>c</m:t>
        </m:r>
        <m:r>
          <m:t>h</m:t>
        </m:r>
        <m:r>
          <m:t>a</m:t>
        </m:r>
        <m:r>
          <m:t>n</m:t>
        </m:r>
        <m:r>
          <m:t>g</m:t>
        </m:r>
        <m:r>
          <m:t>e</m:t>
        </m:r>
        <m:r>
          <m:t>d</m:t>
        </m:r>
        <m:r>
          <m:t>f</m:t>
        </m:r>
        <m:r>
          <m:t>r</m:t>
        </m:r>
        <m:r>
          <m:t>o</m:t>
        </m:r>
        <m:r>
          <m:t>m</m:t>
        </m:r>
        <m:r>
          <m:t>i</m:t>
        </m:r>
        <m:r>
          <m:t>t</m:t>
        </m:r>
        <m:r>
          <m:t>s</m:t>
        </m:r>
        <m:r>
          <m:rPr>
            <m:sty m:val="p"/>
          </m:rPr>
          <m:t>*</m:t>
        </m:r>
        <m:r>
          <m:rPr>
            <m:sty m:val="p"/>
          </m:rPr>
          <m:t>*</m:t>
        </m:r>
      </m:oMath>
      <w:r>
        <w:rPr>
          <w:b/>
          <w:bCs/>
        </w:rPr>
        <w:t xml:space="preserve">148.18 close on April 24</w:t>
      </w:r>
      <w:r>
        <w:t xml:space="preserve">, the day of its fiscal 3Q release. That muted performance suggests investors have remained cautious on staples amid slow top-line growth and margin pressure, despite the company’s improving operational trends.</w:t>
      </w:r>
    </w:p>
    <w:p>
      <w:pPr>
        <w:pStyle w:val="BodyText"/>
      </w:pPr>
      <w:r>
        <w:t xml:space="preserve">The setup therefore looks balanced rather than euphoric:</w:t>
      </w:r>
    </w:p>
    <w:p>
      <w:pPr>
        <w:pStyle w:val="Compact"/>
        <w:numPr>
          <w:ilvl w:val="0"/>
          <w:numId w:val="1007"/>
        </w:numPr>
      </w:pPr>
      <w:r>
        <w:rPr>
          <w:b/>
          <w:bCs/>
        </w:rPr>
        <w:t xml:space="preserve">Upside case:</w:t>
      </w:r>
      <w:r>
        <w:t xml:space="preserve"> </w:t>
      </w:r>
      <w:r>
        <w:t xml:space="preserve">Organic growth exceeds the ~2% expectation, volume remains positive, margins hold better than feared, and fiscal-2027 guidance preserves an earnings-growth path.</w:t>
      </w:r>
    </w:p>
    <w:p>
      <w:pPr>
        <w:pStyle w:val="Compact"/>
        <w:numPr>
          <w:ilvl w:val="0"/>
          <w:numId w:val="1007"/>
        </w:numPr>
      </w:pPr>
      <w:r>
        <w:rPr>
          <w:b/>
          <w:bCs/>
        </w:rPr>
        <w:t xml:space="preserve">Base case:</w:t>
      </w:r>
      <w:r>
        <w:t xml:space="preserve"> </w:t>
      </w:r>
      <w:r>
        <w:t xml:space="preserve">A roughly in-line quarter—around 2% organic growth and EPS near consensus—with a cautious but credible fiscal-2027 framework.</w:t>
      </w:r>
    </w:p>
    <w:p>
      <w:pPr>
        <w:pStyle w:val="Compact"/>
        <w:numPr>
          <w:ilvl w:val="0"/>
          <w:numId w:val="1007"/>
        </w:numPr>
      </w:pPr>
      <w:r>
        <w:rPr>
          <w:b/>
          <w:bCs/>
        </w:rPr>
        <w:t xml:space="preserve">Downside case:</w:t>
      </w:r>
      <w:r>
        <w:t xml:space="preserve"> </w:t>
      </w:r>
      <w:r>
        <w:t xml:space="preserve">Organic growth decelerates more sharply than expected, share trends deteriorate, cost headwinds increase, or fiscal-2027 guidance implies material margin and EPS pressure.</w:t>
      </w:r>
    </w:p>
    <w:bookmarkEnd w:id="16"/>
    <w:bookmarkStart w:id="17" w:name="questions-for-management"/>
    <w:p>
      <w:pPr>
        <w:pStyle w:val="Heading2"/>
      </w:pPr>
      <w:r>
        <w:t xml:space="preserve">Questions for management</w:t>
      </w:r>
    </w:p>
    <w:p>
      <w:pPr>
        <w:pStyle w:val="Compact"/>
        <w:numPr>
          <w:ilvl w:val="0"/>
          <w:numId w:val="1008"/>
        </w:numPr>
      </w:pPr>
      <w:r>
        <w:t xml:space="preserve">How much of fiscal 3Q’s positive volume and North American strength carried into fiscal 4Q after adjusting for Easter and trade-inventory timing?</w:t>
      </w:r>
    </w:p>
    <w:p>
      <w:pPr>
        <w:pStyle w:val="Compact"/>
        <w:numPr>
          <w:ilvl w:val="0"/>
          <w:numId w:val="1008"/>
        </w:numPr>
      </w:pPr>
      <w:r>
        <w:t xml:space="preserve">Are innovation and affordability actions now generating share gains across a broader portion of the portfolio?</w:t>
      </w:r>
    </w:p>
    <w:p>
      <w:pPr>
        <w:pStyle w:val="Compact"/>
        <w:numPr>
          <w:ilvl w:val="0"/>
          <w:numId w:val="1008"/>
        </w:numPr>
      </w:pPr>
      <w:r>
        <w:t xml:space="preserve">What commodity, logistics, tariff, and foreign-exchange assumptions underpin fiscal-2027 guidance?</w:t>
      </w:r>
    </w:p>
    <w:p>
      <w:pPr>
        <w:pStyle w:val="Compact"/>
        <w:numPr>
          <w:ilvl w:val="0"/>
          <w:numId w:val="1008"/>
        </w:numPr>
      </w:pPr>
      <w:r>
        <w:t xml:space="preserve">How much incremental productivity can PG realize in fiscal 2027 from automation, sourcing, reformulation, and Supply Chain 3.0?</w:t>
      </w:r>
    </w:p>
    <w:p>
      <w:pPr>
        <w:pStyle w:val="Compact"/>
        <w:numPr>
          <w:ilvl w:val="0"/>
          <w:numId w:val="1008"/>
        </w:numPr>
      </w:pPr>
      <w:r>
        <w:t xml:space="preserve">Where does PG expect innovation-led pricing to be feasible without compromising volume or value perception?</w:t>
      </w:r>
    </w:p>
    <w:p>
      <w:pPr>
        <w:pStyle w:val="Compact"/>
        <w:numPr>
          <w:ilvl w:val="0"/>
          <w:numId w:val="1008"/>
        </w:numPr>
      </w:pPr>
      <w:r>
        <w:t xml:space="preserve">Are U.S. Baby Care, Family Care, Grooming, and Greater China improving at the pace management expected?</w:t>
      </w:r>
    </w:p>
    <w:p>
      <w:pPr>
        <w:pStyle w:val="Compact"/>
        <w:numPr>
          <w:ilvl w:val="0"/>
          <w:numId w:val="1008"/>
        </w:numPr>
      </w:pPr>
      <w:r>
        <w:t xml:space="preserve">What level of restructuring charges, cash spending, and savings should investors expect in fiscal 2027?</w:t>
      </w:r>
    </w:p>
    <w:p>
      <w:pPr>
        <w:pStyle w:val="Compact"/>
        <w:numPr>
          <w:ilvl w:val="0"/>
          <w:numId w:val="1008"/>
        </w:numPr>
      </w:pPr>
      <w:r>
        <w:t xml:space="preserve">Does PG expect to recognize any recovery of the approximately $200 million in previously paid IEEPA tariffs that it has identified as potentially refundable?</w:t>
      </w:r>
    </w:p>
    <w:bookmarkEnd w:id="17"/>
    <w:bookmarkStart w:id="18" w:name="takeaway"/>
    <w:p>
      <w:pPr>
        <w:pStyle w:val="Heading2"/>
      </w:pPr>
      <w:r>
        <w:t xml:space="preserve">Takeaway</w:t>
      </w:r>
    </w:p>
    <w:p>
      <w:pPr>
        <w:pStyle w:val="FirstParagraph"/>
      </w:pPr>
      <w:r>
        <w:t xml:space="preserve">PG’s fiscal 4Q report should be viewed less as a single-quarter EPS event and more as a referendum on whether its operational turnaround can become a durable fiscal-2027 growth algorithm. The company has demonstrated improving volume, stronger innovation execution, and broad geographic progress. But it must now show that those gains can withstand cost inflation, cautious consumers, and continued competitive intensity—without sacrificing margins, cash returns, or investment behind its brands.</w:t>
      </w:r>
    </w:p>
    <w:p>
      <w:pPr>
        <w:pStyle w:val="BodyText"/>
      </w:pPr>
      <w:r>
        <w:rPr>
          <w:i/>
          <w:iCs/>
        </w:rPr>
        <w:t xml:space="preserve">Sources: Procter &amp; Gamble fiscal 3Q26 earnings-call transcript and 10-Q; daily market-news consensus digest; historical PG closing-price data through July 28, 2026.</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2026-07-29T00:22:40Z</dcterms:created>
  <dcterms:modified xsi:type="dcterms:W3CDTF">2026-07-29T00:22:40Z</dcterms:modified>
</cp:coreProperties>
</file>

<file path=docProps/custom.xml><?xml version="1.0" encoding="utf-8"?>
<Properties xmlns="http://schemas.openxmlformats.org/officeDocument/2006/custom-properties" xmlns:vt="http://schemas.openxmlformats.org/officeDocument/2006/docPropsVTypes"/>
</file>