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Procter &amp; Gamble (PG) — Q4 FY2026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Procter &amp; Gamble Co.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NYSE: PG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29, 2026 — Before Market Open (8:30 a.m. ET Webcast)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Q4 FY2026 (Quarter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28, 2026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Sector ETF Benchmark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XLP (Consumer Staples Select Sector SPDR)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The setup is mixed-to-cautious — consensus for Q4 FY2026 core EPS of ~$1.41–$1.43 is a low bar relative to recent beats, but the quarter carries an unusually heavy cost burden from Middle East-linked commodity, logistics, and reformulation headwinds (~$150M after-tax concentrated almost entirely in Q4), making organic sales the real swing factor heading into the print.</w:t>
      </w:r>
    </w:p>
    <w:p>
      <w:r>
        <w:rPr>
          <w:rFonts w:ascii="Calibri" w:hAnsi="Calibri"/>
          <w:color w:val="525866"/>
          <w:sz w:val="22"/>
        </w:rPr>
        <w:t xml:space="preserve">Heading into P&amp;G's Q4 FY2026 print — the closing quarter of the first fiscal year under new CEO Shailesh Jejurikar — the bar is set low on EPS (~$1.41 consensus vs. $1.59 in Q3) but the revenue and organic sales line is where the real debate sits. Management guided Q4 organic sales growth to be </w:t>
      </w:r>
      <w:r>
        <w:rPr>
          <w:rFonts w:ascii="Calibri" w:hAnsi="Calibri"/>
          <w:b/>
          <w:color w:val="525866"/>
          <w:sz w:val="22"/>
        </w:rPr>
        <w:t>somewhat lower than Q3's 3%</w:t>
      </w:r>
      <w:r>
        <w:rPr>
          <w:rFonts w:ascii="Calibri" w:hAnsi="Calibri"/>
          <w:color w:val="525866"/>
          <w:sz w:val="22"/>
        </w:rPr>
        <w:t xml:space="preserve"> due to Easter-related trade inventory pull-forward into Q3 (estimated ~1 point of volume), implying a Q4 organic print in the 1.5–2.5% range — consensus sits at ~1.6%, which is a low but achievable bar. On the cost side, the ~$150M after-tax Middle East headwind (commodity feedstocks, logistics, reformulation) was explicitly flagged as concentrated in Q4, creating meaningful EPS pressure that management has already guided toward the </w:t>
      </w:r>
      <w:r>
        <w:rPr>
          <w:rFonts w:ascii="Calibri" w:hAnsi="Calibri"/>
          <w:b/>
          <w:color w:val="525866"/>
          <w:sz w:val="22"/>
        </w:rPr>
        <w:t>lower end of the full-year core EPS range of $6.83–$7.09</w:t>
      </w:r>
      <w:r>
        <w:rPr>
          <w:rFonts w:ascii="Calibri" w:hAnsi="Calibri"/>
          <w:color w:val="525866"/>
          <w:sz w:val="22"/>
        </w:rPr>
        <w:t xml:space="preserve">; the stock has largely priced this in, trading at ~$152 and ~22x forward P/E — a modest discount to recent historical averages. Estimate revisions have drifted lower since the Q3 print (Q4 EPS consensus fell from ~$1.51 to ~$1.41), suggesting the street has already de-risked the quarter. The key wildcard is </w:t>
      </w:r>
      <w:r>
        <w:rPr>
          <w:rFonts w:ascii="Calibri" w:hAnsi="Calibri"/>
          <w:b/>
          <w:color w:val="525866"/>
          <w:sz w:val="22"/>
        </w:rPr>
        <w:t>FY2027 guidance</w:t>
      </w:r>
      <w:r>
        <w:rPr>
          <w:rFonts w:ascii="Calibri" w:hAnsi="Calibri"/>
          <w:color w:val="525866"/>
          <w:sz w:val="22"/>
        </w:rPr>
        <w:t>: management deferred FY27 guidance to this call, and the market will be laser-focused on how P&amp;G frames the ~$1B after-tax oil/commodity headwind and whether productivity, sourcing, and innovation-linked pricing can credibly offset it — any constructive FY27 framing could be the catalyst for a relief rally despite a likely soft Q4 print.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Consensus sets a low bar on EPS (~$1.41 vs. $1.59 in Q3) given the flagged Q4 cost concentration, but organic sales growth (~1.6% consensus) is the bigger swing factor — any upside surprise there, combined with constructive FY27 commentary, could drive a positive stock reaction despite the EPS headwind.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(Q4 FY2026)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Last Quarter Actual (Q3 FY26)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Prior Year Period (Q4 FY25)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Q4 FY26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 (vs. Q4 FY25)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Net Sales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$21.24B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$20.89B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$21.22B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+1.6%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Flat to +4% organic (FY)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In-line with low end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Core EPS (Diluted Operating)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$1.59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$1.48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$1.41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-4.7%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core EPS $6.83–$7.09 (lower end)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Implies ~$6.87 FY; at low end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Organic Sales Growth (Consolidated)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~+1.6%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-1.4pp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Flat to +4% (FY); Q4 guided lower than Q3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At low end of range; in-line with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Volume Growth (Consolidated)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~+0.6%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+0.6pp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Q4 volume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Gross Profit – Operating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$10.63B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$10.26B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$10.26B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Flat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Margin pressure from ME cost headwinds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Flat; reflects ~$150M Q4 cost hit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Sources: Visible Alpha Consensus and Actuals Data; Q3 FY2026 Earnings Call (April 24, 2026); company guidance.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Core EPS (Diluted Operating)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$1.88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$1.87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$1.99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$1.89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$1.88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$1.87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$1.93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$1.90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$1.40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pPr>
        <w:pStyle w:val="Heading4"/>
      </w:pPr>
      <w:r>
        <w:rPr>
          <w:rFonts w:ascii="Calibri" w:hAnsi="Calibri"/>
          <w:b/>
          <w:color w:val="3B4259"/>
          <w:sz w:val="22"/>
        </w:rPr>
        <w:t>Organic Sales Growth (Consolidated %)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(pp)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+1.1pp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-0.3pp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+0.7pp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+0.2pp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-0.9pp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+0.5pp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FY2025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-0.1pp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In-Line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-1.2pp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P&amp;G has beaten core EPS consensus in all 8 of the last 8 quarters, typically by 1–5%, reflecting a consistent management practice of conservative guidance. Organic sales has been more volatile, with 3 misses in 8 quarters — the Q4 FY2024 and Q3 FY2025 misses both coincided with periods of elevated competitive pressure and macro softness. The Q4 FY2026 organic bar (~1.6%) is the lowest in 8 quarters, reducing miss risk on that line.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Guidance has not been formally revised since the Q3 FY2026 earnings call (April 24, 2026), but management explicitly shifted tone toward the </w:t>
      </w:r>
      <w:r>
        <w:rPr>
          <w:rFonts w:ascii="Calibri" w:hAnsi="Calibri"/>
          <w:b/>
          <w:color w:val="525866"/>
          <w:sz w:val="22"/>
        </w:rPr>
        <w:t>lower end of the full-year core EPS range</w:t>
      </w:r>
      <w:r>
        <w:rPr>
          <w:rFonts w:ascii="Calibri" w:hAnsi="Calibri"/>
          <w:color w:val="525866"/>
          <w:sz w:val="22"/>
        </w:rPr>
        <w:t xml:space="preserve"> due to the concentrated Q4 Middle East cost headwind — a meaningful de facto downward revision in tone even without a formal range change. FY2027 guidance is the critical new variable at this print.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(Q3 FY26 Call, Apr 24,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Organic Sales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Flat to +4%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~+2.5% (FY)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includes 30–50bp headwind from brand/product-form discontinuations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Core EPS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Flat to +4% ($6.83–$7.09)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~$7.00 (FY)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↓ Tone shift: mgmt guided toward lower end of range due to ~$150M after-tax Q4 ME cost headwind; no formal range change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FY2026 Organic Sales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Somewhat lower than Q3's +3%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~+1.6%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Easter pull-forward (~1pt) cited as Q4 headwind; consensus at low end of implied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Tariff Costs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~$500M before tax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(cost item)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Includes ~$150M after-tax IEEPA refund potential; recoverability uncertain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ME Conflict Cost Headwind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~$150M after tax (FY); almost all in Q4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(cost item)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Commodity feedstocks, logistics, reformulation; FY27 annualized impact ~$1B after tax if oil stays ~$100/bbl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Adj. Free Cash Flow Productivity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85%–90%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includes higher capex for capacity additions and restructuring cash costs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FY2027 Guidance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Deferred to Q4 call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~$7.00 EPS (FY27 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Critical new variable at this print; mgmt committed to earnings growth despite ~$1B after-tax oil headwind; Investor Day in Nov 2026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P&amp;G Q3 FY2026 Earnings Call Transcript (April 24, 2026); Visible Alpha Consensus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Estimates have drifted meaningfully lower since the Q3 FY2026 print — Q4 core EPS consensus fell ~6.6% from ~$1.51 to ~$1.41, tracking management's explicit lower-end guidance tone. Organic sales estimates for Q4 also declined from ~2.5% to ~1.6%, consistent with the Easter pull-forward warning. FY2027 estimates are essentially unchanged, suggesting the street is waiting for management's first formal FY27 guidance at this call before making significant revisions.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Q3 Print (Apr 29,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(Jul 28,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(Q3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Core EPS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~$1.51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$1.41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-6.6%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FY range: $6.83–$7.09 (lower end)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 (tone: lower end)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At low end of implied Q4 range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Core EPS — FY2027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~$7.00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$7.00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yet provided (deferred to Q4 call)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yet provided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— awaiting first FY27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Organic Sales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~2.5%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~1.6%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-0.9pp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Somewhat lower than Q3's +3%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In-line with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Organic Sales — FY2027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~2.5%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~2.5%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yet provided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yet provided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— awaiting first FY27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Net Sales — Q4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~$21.4B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$21.22B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-0.8%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 to +4% organic (FY)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Slightly below initial post-print expectation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 ~6.6% decline in Q4 EPS consensus since the Q3 print reflects the market absorbing management's explicit lower-end guidance tone and the ~$150M after-tax Q4 cost headwind. The flat FY2027 consensus is the key tell — the street is holding estimates in place pending the first formal FY27 guidance at this call, creating asymmetric upside if management frames the ~$1B oil headwind as manageable through productivity and pricing.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Data; P&amp;G Q3 FY2026 Earnings Call (April 24,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PG has outperformed both XLP and the S&amp;P 500 since the Q3 FY2026 earnings print (April 24, 2026), rising ~+6.4% (indexed) vs. XLP +3.9% and SPY +7.8% — the move appears driven by multiple stabilization and defensive rotation rather than estimate upgrades, as EPS revisions have actually moved lower. The stock enters Q4 earnings at ~$152, near its 52-week high range, suggesting limited margin of safety if the FY2027 guidance disappoints.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PG vs. XLP (Consumer Staples ETF) vs. S&amp;P 500 — Indexed to 100 at Q3 FY2026 Earnings Date (April 24, 2026). Sector ETF: XLP (Consumer Staples Select Sector SPDR), appropriate for P&amp;G's household &amp; personal care sub-sector. Material events marked: Q3 FY26 Earnings (Apr 24) and JPMorgan PT cut (Jul 16). Note: Price data is approximate based on publicly available sources.</w:t>
      </w:r>
    </w:p>
    <w:p>
      <w:r>
        <w:rPr>
          <w:rFonts w:ascii="Calibri" w:hAnsi="Calibri"/>
          <w:color w:val="525866"/>
          <w:sz w:val="22"/>
        </w:rPr>
        <w:t xml:space="preserve">PG's ~6.4% gain since the Q3 print has been driven primarily by </w:t>
      </w:r>
      <w:r>
        <w:rPr>
          <w:rFonts w:ascii="Calibri" w:hAnsi="Calibri"/>
          <w:b/>
          <w:color w:val="525866"/>
          <w:sz w:val="22"/>
        </w:rPr>
        <w:t>multiple stabilization and defensive rotation</w:t>
      </w:r>
      <w:r>
        <w:rPr>
          <w:rFonts w:ascii="Calibri" w:hAnsi="Calibri"/>
          <w:color w:val="525866"/>
          <w:sz w:val="22"/>
        </w:rPr>
        <w:t xml:space="preserve"> into consumer staples as macro uncertainty elevated — not by upward estimate revisions, which have actually moved lower. The stock's 52-week range of $137.62–$167.25 and current ~22x forward P/E (below the ~38x market average) reflects a balanced sentiment: no longer stretched, but not cheap enough to provide a meaningful cushion if FY2027 guidance disappoints. JPMorgan's July 16 PT cut from $164 to $162 (maintaining Overweight) and Wells Fargo's post-Q3 upgrade to $164 (Overweight) bracket the current consensus PT of ~$161.74, implying ~7% upside from current levels. The stock's low beta (0.39) and 2.86% dividend yield provide downside support.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Commentaries — Read-Throughs from Last 60 Days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commentary from Unilever (H1 2026, reported July 28), Colgate-Palmolive (Q1 2026, reported May 1), and Kimberly-Clark (Q1 2026, reported April 28) collectively signals that </w:t>
      </w:r>
      <w:r>
        <w:rPr>
          <w:rFonts w:ascii="Calibri" w:hAnsi="Calibri"/>
          <w:b/>
          <w:color w:val="525866"/>
          <w:sz w:val="22"/>
        </w:rPr>
        <w:t>volume-led growth is achievable in the current environment</w:t>
      </w:r>
      <w:r>
        <w:rPr>
          <w:rFonts w:ascii="Calibri" w:hAnsi="Calibri"/>
          <w:color w:val="525866"/>
          <w:sz w:val="22"/>
        </w:rPr>
        <w:t xml:space="preserve"> but commodity/logistics inflation from the Middle East conflict is a shared industry headwind — the key read-through for PG is that peers are managing through it with productivity and selective pricing, validating P&amp;G's stated approach, while Unilever's best quarterly volume performance since 2010 (+5.5% in Q2) sets a high bar for what innovation-led execution can deliver.</w:t>
      </w:r>
    </w:p>
    <w:p>
      <w:r>
        <w:rPr>
          <w:rFonts w:ascii="Calibri" w:hAnsi="Calibri"/>
          <w:i/>
          <w:color w:val="525866"/>
          <w:sz w:val="22"/>
        </w:rPr>
        <w:t>Note: Only commentary from peers' most recent earnings calls (reporting on their current quarter, i.e., Q1 2026 or H1 2026) is included below. Prior-quarter results commentary has been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Unilever (ULVR LN) — H1 2026 Results (Reported July 28,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PG: </w:t>
      </w:r>
      <w:r>
        <w:rPr>
          <w:rFonts w:ascii="Calibri" w:hAnsi="Calibri"/>
          <w:color w:val="525866"/>
          <w:sz w:val="22"/>
        </w:rPr>
        <w:t>Unilever is P&amp;G's closest global peer across HPC (Home &amp; Personal Care) and competes directly in fabric care, personal care, and beauty. Unilever's H1 2026 results are the most timely and directly comparable read-through for PG's Q4 FY2026 (calendar Q2 2026).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Volume surge: </w:t>
      </w:r>
      <w:r>
        <w:rPr>
          <w:rFonts w:ascii="Calibri" w:hAnsi="Calibri"/>
          <w:color w:val="525866"/>
          <w:sz w:val="22"/>
        </w:rPr>
        <w:t xml:space="preserve">Unilever reported Q2 2026 underlying sales growth of +5.8% with volume up +5.5% — its </w:t>
      </w:r>
      <w:r>
        <w:rPr>
          <w:rFonts w:ascii="Calibri" w:hAnsi="Calibri"/>
          <w:b/>
          <w:color w:val="525866"/>
          <w:sz w:val="22"/>
        </w:rPr>
        <w:t>best quarterly volume performance since 2010</w:t>
      </w:r>
      <w:r>
        <w:rPr>
          <w:rFonts w:ascii="Calibri" w:hAnsi="Calibri"/>
          <w:color w:val="525866"/>
          <w:sz w:val="22"/>
        </w:rPr>
        <w:t>. Power brands (78% of turnover) grew +6.9% with +6.8% volume. This is a strong positive read-through for category health and consumer willingness to trade up on innovation.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North America outperformance: </w:t>
      </w:r>
      <w:r>
        <w:rPr>
          <w:rFonts w:ascii="Calibri" w:hAnsi="Calibri"/>
          <w:color w:val="525866"/>
          <w:sz w:val="22"/>
        </w:rPr>
        <w:t xml:space="preserve">Unilever's North America grew +2.6% in Q2 with +4.4% volume, led by deodorants, skin cleansing, and prestige beauty. Unilever </w:t>
      </w:r>
      <w:r>
        <w:rPr>
          <w:rFonts w:ascii="Calibri" w:hAnsi="Calibri"/>
          <w:b/>
          <w:color w:val="525866"/>
          <w:sz w:val="22"/>
        </w:rPr>
        <w:t>regained market leadership in US deodorants after two years</w:t>
      </w:r>
      <w:r>
        <w:rPr>
          <w:rFonts w:ascii="Calibri" w:hAnsi="Calibri"/>
          <w:color w:val="525866"/>
          <w:sz w:val="22"/>
        </w:rPr>
        <w:t xml:space="preserve"> — a competitive signal for P&amp;G's personal care portfolio. Destocking in the US was described as "not material" at the company level, a positive read-through for PG's North America volume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China mid-single digit growth: </w:t>
      </w:r>
      <w:r>
        <w:rPr>
          <w:rFonts w:ascii="Calibri" w:hAnsi="Calibri"/>
          <w:color w:val="525866"/>
          <w:sz w:val="22"/>
        </w:rPr>
        <w:t>Unilever's China grew mid-single digit in Q2, led by beauty and wellbeing, with all business groups contributing. The market is "getting slowly better" with good acceleration in food service. This is consistent with P&amp;G's Q3 commentary of China returning to slight growth in the low-to-mid single digit range.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Commodity inflation headwind: </w:t>
      </w:r>
      <w:r>
        <w:rPr>
          <w:rFonts w:ascii="Calibri" w:hAnsi="Calibri"/>
          <w:color w:val="525866"/>
          <w:sz w:val="22"/>
        </w:rPr>
        <w:t xml:space="preserve">Unilever flagged ~€850M full-year commodity inflation (range €800–900M), with ~€550M in H2 2026, driven by crude, vegetable oils, packaging, and energy — explicitly citing the </w:t>
      </w:r>
      <w:r>
        <w:rPr>
          <w:rFonts w:ascii="Calibri" w:hAnsi="Calibri"/>
          <w:b/>
          <w:color w:val="525866"/>
          <w:sz w:val="22"/>
        </w:rPr>
        <w:t>Middle East conflict as the source of inflation headwinds</w:t>
      </w:r>
      <w:r>
        <w:rPr>
          <w:rFonts w:ascii="Calibri" w:hAnsi="Calibri"/>
          <w:color w:val="525866"/>
          <w:sz w:val="22"/>
        </w:rPr>
        <w:t>. Supply security was described as an "absolute priority." This validates P&amp;G's ~$150M Q4 cost headwind framing and suggests the industry-wide cost pressure is real and concentrated in H2.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 to build in H2: </w:t>
      </w:r>
      <w:r>
        <w:rPr>
          <w:rFonts w:ascii="Calibri" w:hAnsi="Calibri"/>
          <w:color w:val="525866"/>
          <w:sz w:val="22"/>
        </w:rPr>
        <w:t>Unilever guided for pricing to lead growth in H2 2026 as higher commodity costs are reflected in the market, with full-year USG expected within the 4–6% multi-year range. This supports P&amp;G's thesis that innovation-linked pricing is the right lever, not broad-based price increases.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FY2026 guidance upgraded: </w:t>
      </w:r>
      <w:r>
        <w:rPr>
          <w:rFonts w:ascii="Calibri" w:hAnsi="Calibri"/>
          <w:color w:val="525866"/>
          <w:sz w:val="22"/>
        </w:rPr>
        <w:t>Unilever upgraded its full-year outlook to within its 4–6% multi-year USG range with ~3% volume for the full year — a constructive signal for category health heading into P&amp;G's Q4 print.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Colgate-Palmolive (CL) — Q1 2026 Results (Reported May 1,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PG: </w:t>
      </w:r>
      <w:r>
        <w:rPr>
          <w:rFonts w:ascii="Calibri" w:hAnsi="Calibri"/>
          <w:color w:val="525866"/>
          <w:sz w:val="22"/>
        </w:rPr>
        <w:t>Colgate competes directly with P&amp;G in oral care, personal care, and home care. CL's Q1 2026 results (calendar Q1 2026) are a read-through for the consumer and competitive environment P&amp;G faced in its Q4 FY2026 (calendar Q2 2026).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Organic growth acceleration: </w:t>
      </w:r>
      <w:r>
        <w:rPr>
          <w:rFonts w:ascii="Calibri" w:hAnsi="Calibri"/>
          <w:color w:val="525866"/>
          <w:sz w:val="22"/>
        </w:rPr>
        <w:t>Colgate reported Q1 2026 organic sales growth of +2.9% (volume +1.1%, pricing +1.8%) — its fastest clip in five quarters, with growth led by emerging markets. This is a positive read-through for category health, though North America lagged.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North America weakness: </w:t>
      </w:r>
      <w:r>
        <w:rPr>
          <w:rFonts w:ascii="Calibri" w:hAnsi="Calibri"/>
          <w:color w:val="525866"/>
          <w:sz w:val="22"/>
        </w:rPr>
        <w:t xml:space="preserve">North America continued to lag in volume/mix in Q1, with margins significantly pressured by tariffs (minimal in prior year) and higher raw material costs. Colgate is executing a strategy reset for North America involving brand interventions, accelerated innovation, and enhanced RGM. </w:t>
      </w:r>
      <w:r>
        <w:rPr>
          <w:rFonts w:ascii="Calibri" w:hAnsi="Calibri"/>
          <w:b/>
          <w:color w:val="525866"/>
          <w:sz w:val="22"/>
        </w:rPr>
        <w:t>Sequential improvement was expected in Q2</w:t>
      </w:r>
      <w:r>
        <w:rPr>
          <w:rFonts w:ascii="Calibri" w:hAnsi="Calibri"/>
          <w:color w:val="525866"/>
          <w:sz w:val="22"/>
        </w:rPr>
        <w:t xml:space="preserve"> — a read-through that the North America competitive environment may be stabilizing for P&amp;G as well.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Commodity cost escalation: </w:t>
      </w:r>
      <w:r>
        <w:rPr>
          <w:rFonts w:ascii="Calibri" w:hAnsi="Calibri"/>
          <w:color w:val="525866"/>
          <w:sz w:val="22"/>
        </w:rPr>
        <w:t xml:space="preserve">Since the Q4 2025 call, Colgate identified an additional ~$300M of raw materials and logistics impact for the year (2/3 raw materials, 1/3 logistics), with oil assumed at ~$110/bbl for the remainder of the year. Spending on oil byproducts (resins, petrochemicals, fats, oils) expected up </w:t>
      </w:r>
      <w:r>
        <w:rPr>
          <w:rFonts w:ascii="Calibri" w:hAnsi="Calibri"/>
          <w:b/>
          <w:color w:val="525866"/>
          <w:sz w:val="22"/>
        </w:rPr>
        <w:t>more than 20% year-on-year</w:t>
      </w:r>
      <w:r>
        <w:rPr>
          <w:rFonts w:ascii="Calibri" w:hAnsi="Calibri"/>
          <w:color w:val="525866"/>
          <w:sz w:val="22"/>
        </w:rPr>
        <w:t>; logistics costs up nearly 10%. This is a strong validation of P&amp;G's commodity headwind framing.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 philosophy aligned with PG: </w:t>
      </w:r>
      <w:r>
        <w:rPr>
          <w:rFonts w:ascii="Calibri" w:hAnsi="Calibri"/>
          <w:color w:val="525866"/>
          <w:sz w:val="22"/>
        </w:rPr>
        <w:t>Colgate CEO Noel Wallace stated pricing must be "coupled with strong innovation" and that the company will "take pricing where we see the opportunities" — directly echoing P&amp;G's innovation-linked pricing philosophy. Both companies are rejecting broad-based price increases in favor of consumer-choice-based innovation pricing.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Gross margin guidance reduced: </w:t>
      </w:r>
      <w:r>
        <w:rPr>
          <w:rFonts w:ascii="Calibri" w:hAnsi="Calibri"/>
          <w:color w:val="525866"/>
          <w:sz w:val="22"/>
        </w:rPr>
        <w:t>Colgate reduced its gross margin expectations for the year while maintaining EPS guidance in the low-to-mid single digit range, absorbing the $300M cost headwind through productivity. This is consistent with P&amp;G's approach of protecting EPS through productivity while absorbing cost pressure.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China: </w:t>
      </w:r>
      <w:r>
        <w:rPr>
          <w:rFonts w:ascii="Calibri" w:hAnsi="Calibri"/>
          <w:color w:val="525866"/>
          <w:sz w:val="22"/>
        </w:rPr>
        <w:t>Colgate's China business delivered mid-single-digit growth in a flat-to-declining market, with interventions in the Hawley &amp; Hazel business paying dividends. Consistent with P&amp;G's China narrative of selective outperformance in a challenging macro environment.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Kimberly-Clark (KMB) — Q1 2026 Results (Reported April 28,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PG: </w:t>
      </w:r>
      <w:r>
        <w:rPr>
          <w:rFonts w:ascii="Calibri" w:hAnsi="Calibri"/>
          <w:color w:val="525866"/>
          <w:sz w:val="22"/>
        </w:rPr>
        <w:t>Kimberly-Clark competes directly with P&amp;G in baby care (Huggies vs. Pampers), feminine care, and family care. KMB's Q1 2026 results are the most direct competitive read-through for P&amp;G's Baby, Feminine &amp; Family Care segment.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Volume-led growth: </w:t>
      </w:r>
      <w:r>
        <w:rPr>
          <w:rFonts w:ascii="Calibri" w:hAnsi="Calibri"/>
          <w:color w:val="525866"/>
          <w:sz w:val="22"/>
        </w:rPr>
        <w:t>KMB reported Q1 2026 volume plus mix growth of +3.0%, its ninth or tenth consecutive quarter of solid volume/mix growth, driven by innovation rather than promotion. North America categories rebounded strongly in Q1 with category growth of ~3.3%. This is a positive read-through for P&amp;G's North America volume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Baby Care competitive dynamics: </w:t>
      </w:r>
      <w:r>
        <w:rPr>
          <w:rFonts w:ascii="Calibri" w:hAnsi="Calibri"/>
          <w:color w:val="525866"/>
          <w:sz w:val="22"/>
        </w:rPr>
        <w:t>KMB is building market share in Baby Care, Women's Health, and Active Aging. The company brought its best product technology from China into the value tier in North America — a direct competitive signal for P&amp;G's Pampers business, which management has described as facing a "tale of two cities" with U.S. challenges from Chinese import brands.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Middle East commodity headwind: </w:t>
      </w:r>
      <w:r>
        <w:rPr>
          <w:rFonts w:ascii="Calibri" w:hAnsi="Calibri"/>
          <w:color w:val="525866"/>
          <w:sz w:val="22"/>
        </w:rPr>
        <w:t xml:space="preserve">KMB flagged a ~$50M bottom-line Q2 impact from Middle East war-related inflation and the LA DC fire, with potential gross incremental input costs of </w:t>
      </w:r>
      <w:r>
        <w:rPr>
          <w:rFonts w:ascii="Calibri" w:hAnsi="Calibri"/>
          <w:b/>
          <w:color w:val="525866"/>
          <w:sz w:val="22"/>
        </w:rPr>
        <w:t>$150–$170M in H2 2026 if oil stays at ~$100/bbl</w:t>
      </w:r>
      <w:r>
        <w:rPr>
          <w:rFonts w:ascii="Calibri" w:hAnsi="Calibri"/>
          <w:color w:val="525866"/>
          <w:sz w:val="22"/>
        </w:rPr>
        <w:t xml:space="preserve"> — not yet built into guidance. This is a direct validation of P&amp;G's ~$150M Q4 cost headwind and suggests the industry-wide pressure is real.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Consumer behavior: </w:t>
      </w:r>
      <w:r>
        <w:rPr>
          <w:rFonts w:ascii="Calibri" w:hAnsi="Calibri"/>
          <w:color w:val="525866"/>
          <w:sz w:val="22"/>
        </w:rPr>
        <w:t>KMB observed no large-scale shifts in consumer buying behavior, with consumers "getting more choiceful" but branded value propositions winning in mid-price tiers. Private label penetration in personal care continues to fall. This is a constructive read-through for P&amp;G's premium brand positioning.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Margin resilience: </w:t>
      </w:r>
      <w:r>
        <w:rPr>
          <w:rFonts w:ascii="Calibri" w:hAnsi="Calibri"/>
          <w:color w:val="525866"/>
          <w:sz w:val="22"/>
        </w:rPr>
        <w:t>KMB maintained full-year guidance for gross and operating margin expansion of ~70–80bp despite the emerging commodity pressures, citing a strong track record of recovering input cost inflation. The company is ~80% covered in its cost basket through hedging and contracts — a more favorable position than P&amp;G's more exposed supply chain.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Church &amp; Dwight (CHD) — Q1 2026 Results (Reported May 1,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PG: </w:t>
      </w:r>
      <w:r>
        <w:rPr>
          <w:rFonts w:ascii="Calibri" w:hAnsi="Calibri"/>
          <w:color w:val="525866"/>
          <w:sz w:val="22"/>
        </w:rPr>
        <w:t>Church &amp; Dwight competes with P&amp;G in laundry (ARM &amp; HAMMER vs. Tide), oral care (THERABREATH vs. Oral-B), and personal care. CHD's Q1 2026 results provide a read-through on category health and competitive dynamics in P&amp;G's core U.S. household categories.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Strongest volume print among peers: </w:t>
      </w:r>
      <w:r>
        <w:rPr>
          <w:rFonts w:ascii="Calibri" w:hAnsi="Calibri"/>
          <w:color w:val="525866"/>
          <w:sz w:val="22"/>
        </w:rPr>
        <w:t>CHD reported Q1 2026 organic sales growth of +5.0% with volume +5.3% — the highest volume growth among HPC peers in the quarter (vs. CL +1.1%, PG +2.0%, KMB +3.0%). Domestic organic grew +5.4%, primarily all volume. This suggests category health in P&amp;G's core U.S. household categories is robust.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Laundry category dynamics: </w:t>
      </w:r>
      <w:r>
        <w:rPr>
          <w:rFonts w:ascii="Calibri" w:hAnsi="Calibri"/>
          <w:color w:val="525866"/>
          <w:sz w:val="22"/>
        </w:rPr>
        <w:t xml:space="preserve">ARM &amp; HAMMER laundry achieved record shares with consumption growing +4.1% vs. category growth of +2.7%. The </w:t>
      </w:r>
      <w:r>
        <w:rPr>
          <w:rFonts w:ascii="Calibri" w:hAnsi="Calibri"/>
          <w:b/>
          <w:color w:val="525866"/>
          <w:sz w:val="22"/>
        </w:rPr>
        <w:t>value segment of laundry continues to grow</w:t>
      </w:r>
      <w:r>
        <w:rPr>
          <w:rFonts w:ascii="Calibri" w:hAnsi="Calibri"/>
          <w:color w:val="525866"/>
          <w:sz w:val="22"/>
        </w:rPr>
        <w:t xml:space="preserve"> — a competitive signal for P&amp;G's Tide franchise, which has been executing innovation-led interventions (Tide liquid formula upgrade driving mid-teens growth in Q3 FY2026).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Consumer backdrop: </w:t>
      </w:r>
      <w:r>
        <w:rPr>
          <w:rFonts w:ascii="Calibri" w:hAnsi="Calibri"/>
          <w:color w:val="525866"/>
          <w:sz w:val="22"/>
        </w:rPr>
        <w:t>CHD management characterized the consumer as "pressed" with "no appetite" for price increases, with the company explicitly declining to price through its $25–30M incremental inflation headwind. Category growth for CHD's major categories was ~3% in Q1, with March at ~3.5% — better than the 2% expected at the start of the year. This is a constructive read-through for P&amp;G's U.S. category growth assumptions.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Middle East commodity headwind: </w:t>
      </w:r>
      <w:r>
        <w:rPr>
          <w:rFonts w:ascii="Calibri" w:hAnsi="Calibri"/>
          <w:color w:val="525866"/>
          <w:sz w:val="22"/>
        </w:rPr>
        <w:t>CHD estimated $25–30M of incremental full-year inflation pressure from oil-based derivatives (diesel, resin, surfactants) at an assumed oil price of $95–$100/bbl. The company plans to offset through productivity rather than pricing — consistent with the industry-wide approach and validating P&amp;G's cost headwind framing.</w:t>
      </w:r>
    </w:p>
    <w:p>
      <w:r>
        <w:rPr>
          <w:rFonts w:ascii="Calibri" w:hAnsi="Calibri"/>
          <w:i/>
          <w:color w:val="525866"/>
          <w:sz w:val="22"/>
        </w:rPr>
        <w:t>Sources: Unilever H1 2026 Earnings Call Transcript (July 28, 2026); Colgate-Palmolive Q1 2026 Earnings Call Transcript (May 1, 2026); Kimberly-Clark Q1 2026 Earnings Call Transcript (April 28, 2026); Church &amp; Dwight Q1 2026 Earnings Call Transcript (May 1,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the Q3 FY2026 print is the </w:t>
      </w:r>
      <w:r>
        <w:rPr>
          <w:rFonts w:ascii="Calibri" w:hAnsi="Calibri"/>
          <w:b/>
          <w:color w:val="525866"/>
          <w:sz w:val="22"/>
        </w:rPr>
        <w:t>Middle East conflict-driven commodity cost escalation</w:t>
      </w:r>
      <w:r>
        <w:rPr>
          <w:rFonts w:ascii="Calibri" w:hAnsi="Calibri"/>
          <w:color w:val="525866"/>
          <w:sz w:val="22"/>
        </w:rPr>
        <w:t xml:space="preserve"> — flagged as a ~$150M after-tax Q4 headwind with a potential ~$1B after-tax FY2027 impact if oil stays at ~$100/bbl — which has reset near-term EPS expectations and makes FY2027 guidance the single most important variable at tomorrow's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24, 2026 — Q3 FY2026 Earnings: </w:t>
      </w:r>
      <w:r>
        <w:rPr>
          <w:rFonts w:ascii="Calibri" w:hAnsi="Calibri"/>
          <w:color w:val="525866"/>
          <w:sz w:val="22"/>
        </w:rPr>
        <w:t xml:space="preserve">P&amp;G reported Q3 core EPS of $1.59 (beat vs. $1.56 consensus) and organic sales of +3% (beat vs. +1.9% consensus), but guided Q4 organic sales lower due to Easter pull-forward and flagged ~$150M after-tax Middle East cost headwind concentrated in Q4. Full-year EPS guided toward the lower end of $6.83–$7.09. Stock rose in premarket but sold off on the day amid analyst PT cuts. </w:t>
      </w:r>
      <w:r>
        <w:rPr>
          <w:rFonts w:ascii="Calibri" w:hAnsi="Calibri"/>
          <w:color w:val="525866"/>
          <w:sz w:val="22"/>
        </w:rPr>
        <w:t>Implication: Sets a low bar for Q4 EPS but creates high stakes for FY2027 guidance.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24, 2026 — Middle East Conflict Cost Quantification: </w:t>
      </w:r>
      <w:r>
        <w:rPr>
          <w:rFonts w:ascii="Calibri" w:hAnsi="Calibri"/>
          <w:color w:val="525866"/>
          <w:sz w:val="22"/>
        </w:rPr>
        <w:t xml:space="preserve">Management quantified the annualized FY2027 cost impact of Brent crude at ~$100/bbl as </w:t>
      </w:r>
      <w:r>
        <w:rPr>
          <w:rFonts w:ascii="Calibri" w:hAnsi="Calibri"/>
          <w:b/>
          <w:color w:val="525866"/>
          <w:sz w:val="22"/>
        </w:rPr>
        <w:t>~$1.3B before tax / ~$1B after tax</w:t>
      </w:r>
      <w:r>
        <w:rPr>
          <w:rFonts w:ascii="Calibri" w:hAnsi="Calibri"/>
          <w:color w:val="525866"/>
          <w:sz w:val="22"/>
        </w:rPr>
        <w:t xml:space="preserve"> vs. pre-conflict oil in the mid-$60s, encompassing commodity feedstocks, sourcing lane changes, reformulation upcharges, and finished product logistics. Supply chain demonstrated resilience with no stockouts on key materials. </w:t>
      </w:r>
      <w:r>
        <w:rPr>
          <w:rFonts w:ascii="Calibri" w:hAnsi="Calibri"/>
          <w:color w:val="525866"/>
          <w:sz w:val="22"/>
        </w:rPr>
        <w:t>Implication: The magnitude of this headwind is the central debate for FY2027 EPS; management's mitigation roadmap is the key watch item.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24, 2026 — FY2027 Guidance Deferred: </w:t>
      </w:r>
      <w:r>
        <w:rPr>
          <w:rFonts w:ascii="Calibri" w:hAnsi="Calibri"/>
          <w:color w:val="525866"/>
          <w:sz w:val="22"/>
        </w:rPr>
        <w:t xml:space="preserve">Management explicitly deferred FY2027 guidance to the Q4 call (July 29), stating it is "a work in progress" dependent on productivity, sourcing choices, and innovation-linked pricing. An </w:t>
      </w:r>
      <w:r>
        <w:rPr>
          <w:rFonts w:ascii="Calibri" w:hAnsi="Calibri"/>
          <w:b/>
          <w:color w:val="525866"/>
          <w:sz w:val="22"/>
        </w:rPr>
        <w:t>Investor Day in November 2026</w:t>
      </w:r>
      <w:r>
        <w:rPr>
          <w:rFonts w:ascii="Calibri" w:hAnsi="Calibri"/>
          <w:color w:val="525866"/>
          <w:sz w:val="22"/>
        </w:rPr>
        <w:t xml:space="preserve"> was confirmed to showcase new leadership and strategic pillars. </w:t>
      </w:r>
      <w:r>
        <w:rPr>
          <w:rFonts w:ascii="Calibri" w:hAnsi="Calibri"/>
          <w:color w:val="525866"/>
          <w:sz w:val="22"/>
        </w:rPr>
        <w:t>Implication: Tomorrow's call is the first opportunity for the market to hear FY2027 framing — the single biggest catalyst for the stock.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27, 2026 — Analyst Rating/PT Changes Post-Q3: </w:t>
      </w:r>
      <w:r>
        <w:rPr>
          <w:rFonts w:ascii="Calibri" w:hAnsi="Calibri"/>
          <w:color w:val="525866"/>
          <w:sz w:val="22"/>
        </w:rPr>
        <w:t xml:space="preserve">Wells Fargo raised PT from $158 to $164 (Overweight); UBS raised PT from $166 to $172 (Buy); Rothschild &amp; Co Redburn cut PT from $157 to $155 (Neutral); TD Cowen raised PT from $142 to $150 (Hold). Consensus rating: Moderate Buy with average PT of ~$161.74. </w:t>
      </w:r>
      <w:r>
        <w:rPr>
          <w:rFonts w:ascii="Calibri" w:hAnsi="Calibri"/>
          <w:color w:val="525866"/>
          <w:sz w:val="22"/>
        </w:rPr>
        <w:t>Implication: Constructive analyst sentiment with 12 Buy / 9 Hold ratings; no Sells.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1, 2026 — Peer Earnings (CL, CHD): </w:t>
      </w:r>
      <w:r>
        <w:rPr>
          <w:rFonts w:ascii="Calibri" w:hAnsi="Calibri"/>
          <w:color w:val="525866"/>
          <w:sz w:val="22"/>
        </w:rPr>
        <w:t xml:space="preserve">Colgate and Church &amp; Dwight both reported Q1 2026 results, validating the industry-wide commodity cost headwind from the Middle East conflict and confirming that volume-led growth is achievable through innovation. Both companies maintained full-year guidance. </w:t>
      </w:r>
      <w:r>
        <w:rPr>
          <w:rFonts w:ascii="Calibri" w:hAnsi="Calibri"/>
          <w:color w:val="525866"/>
          <w:sz w:val="22"/>
        </w:rPr>
        <w:t>Implication: Positive read-through for category health; validates P&amp;G's cost headwind framing.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16, 2026 — JPMorgan PT Cut: </w:t>
      </w:r>
      <w:r>
        <w:rPr>
          <w:rFonts w:ascii="Calibri" w:hAnsi="Calibri"/>
          <w:color w:val="525866"/>
          <w:sz w:val="22"/>
        </w:rPr>
        <w:t xml:space="preserve">JPMorgan Chase lowered its price target on PG from $164 to $162 while maintaining an Overweight rating, citing the commodity cost headwind and lower-end EPS guidance tone. The new target implies ~7.5% upside from the prior close. </w:t>
      </w:r>
      <w:r>
        <w:rPr>
          <w:rFonts w:ascii="Calibri" w:hAnsi="Calibri"/>
          <w:color w:val="525866"/>
          <w:sz w:val="22"/>
        </w:rPr>
        <w:t>Implication: Modest valuation reset; constructive overall tone maintained.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28, 2026 — Unilever H1 2026 Results: </w:t>
      </w:r>
      <w:r>
        <w:rPr>
          <w:rFonts w:ascii="Calibri" w:hAnsi="Calibri"/>
          <w:color w:val="525866"/>
          <w:sz w:val="22"/>
        </w:rPr>
        <w:t xml:space="preserve">Unilever reported its best quarterly volume performance since 2010 (+5.5% in Q2) and upgraded its full-year USG outlook to within the 4–6% multi-year range, while flagging ~€850M full-year commodity inflation from the Middle East conflict. </w:t>
      </w:r>
      <w:r>
        <w:rPr>
          <w:rFonts w:ascii="Calibri" w:hAnsi="Calibri"/>
          <w:color w:val="525866"/>
          <w:sz w:val="22"/>
        </w:rPr>
        <w:t>Implication: Strong positive read-through for category health and volume-led growth potential; validates commodity headwind.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Ongoing — Restructuring Program: </w:t>
      </w:r>
      <w:r>
        <w:rPr>
          <w:rFonts w:ascii="Calibri" w:hAnsi="Calibri"/>
          <w:color w:val="525866"/>
          <w:sz w:val="22"/>
        </w:rPr>
        <w:t xml:space="preserve">P&amp;G is cutting up to 7,000 non-manufacturing roles by end of FY2027, with ~$1.0–$1.6B in non-core restructuring charges over two years. After year one, slightly more than half of targeted role reductions have been executed. </w:t>
      </w:r>
      <w:r>
        <w:rPr>
          <w:rFonts w:ascii="Calibri" w:hAnsi="Calibri"/>
          <w:color w:val="525866"/>
          <w:sz w:val="22"/>
        </w:rPr>
        <w:t>Implication: Restructuring savings provide a productivity offset to commodity headwinds; progress update expected at Q4 call.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Ongoing — U.S. Baby Care Competition: </w:t>
      </w:r>
      <w:r>
        <w:rPr>
          <w:rFonts w:ascii="Calibri" w:hAnsi="Calibri"/>
          <w:color w:val="525866"/>
          <w:sz w:val="22"/>
        </w:rPr>
        <w:t xml:space="preserve">Chinese import brands (Rascal &amp; Friends, Zuru-affiliated) continue to gain retail footholds in U.S. diapers. Management has adapted near-term value competitiveness, returning diapers to share growth in recent measured periods. </w:t>
      </w:r>
      <w:r>
        <w:rPr>
          <w:rFonts w:ascii="Calibri" w:hAnsi="Calibri"/>
          <w:color w:val="525866"/>
          <w:sz w:val="22"/>
        </w:rPr>
        <w:t>Implication: Watch for any update on Baby Care U.S. share trajectory and innovation pipeline timing.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No open-market buys or discretionary sells by executives or directors since the Q3 FY2026 earnings print. The only Form 4 activity in the period was routine director compensation grants (transaction code A) on June 9, 2026 — six directors received stock awards as part of standard board compensation. </w:t>
      </w:r>
      <w:r>
        <w:rPr>
          <w:rFonts w:ascii="Calibri" w:hAnsi="Calibri"/>
          <w:color w:val="525866"/>
          <w:sz w:val="22"/>
        </w:rPr>
        <w:t>Nothing notable to flag; the absence of open-market buying by insiders ahead of a potentially pivotal FY2027 guidance call is worth noting but is not unusual for a large-cap staples company.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Craig Arnold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202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Joseph Jimenez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320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Christopher J. Kempczinski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258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Christine M. McCarthy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253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Ashley McEvoy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202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Robert Jones Portman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Stock Award (Grant)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51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9,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director compensation; not a discretionary open-market transaction</w:t>
            </w:r>
          </w:p>
        </w:tc>
      </w:tr>
    </w:tbl>
    <w:p>
      <w:r>
        <w:rPr>
          <w:rFonts w:ascii="Calibri" w:hAnsi="Calibri"/>
          <w:color w:val="525866"/>
          <w:sz w:val="22"/>
        </w:rPr>
        <w:t>All six transactions on June 9, 2026 are routine director stock award grants (SEC Form 4, transaction code A — Acquisition via award/grant), not open-market purchases. There are no open-market buys (code P) or discretionary sells (code S) by any executive officer or director in the period since the Q3 FY2026 earnings print (April 24, 2026). No 10b5-1 plan initiations or Form 144 filings were identified in the period.</w:t>
      </w:r>
    </w:p>
    <w:p>
      <w:r>
        <w:rPr>
          <w:rFonts w:ascii="Calibri" w:hAnsi="Calibri"/>
          <w:i/>
          <w:color w:val="525866"/>
          <w:sz w:val="22"/>
        </w:rPr>
        <w:t>Source: SEC Form 4 Filings Database (Insider Transaction Data).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