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Procter &amp; Gamble Co. (PG) —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Procter &amp; Gamble Co.</w:t>
            </w:r>
          </w:p>
        </w:tc>
        <w:tc>
          <w:tcPr>
            <w:tcW w:type="dxa" w:w="2160"/>
          </w:tcPr>
          <w:p>
            <w:r>
              <w:rPr>
                <w:rFonts w:ascii="Calibri" w:hAnsi="Calibri"/>
                <w:b/>
                <w:sz w:val="22"/>
              </w:rPr>
              <w:t>Earnings Date</w:t>
            </w:r>
          </w:p>
        </w:tc>
        <w:tc>
          <w:tcPr>
            <w:tcW w:type="dxa" w:w="2160"/>
          </w:tcPr>
          <w:p>
            <w:r>
              <w:rPr>
                <w:rFonts w:ascii="Calibri" w:hAnsi="Calibri"/>
                <w:sz w:val="22"/>
              </w:rPr>
              <w:t>July 29, 2026 (Pre-Market)</w:t>
            </w:r>
          </w:p>
        </w:tc>
      </w:tr>
      <w:tr>
        <w:tc>
          <w:tcPr>
            <w:tcW w:type="dxa" w:w="2160"/>
          </w:tcPr>
          <w:p>
            <w:r>
              <w:rPr>
                <w:rFonts w:ascii="Calibri" w:hAnsi="Calibri"/>
                <w:b/>
                <w:sz w:val="22"/>
              </w:rPr>
              <w:t>Ticker</w:t>
            </w:r>
          </w:p>
        </w:tc>
        <w:tc>
          <w:tcPr>
            <w:tcW w:type="dxa" w:w="2160"/>
          </w:tcPr>
          <w:p>
            <w:r>
              <w:rPr>
                <w:rFonts w:ascii="Calibri" w:hAnsi="Calibri"/>
                <w:sz w:val="22"/>
              </w:rPr>
              <w:t>PG US</w:t>
            </w:r>
          </w:p>
        </w:tc>
        <w:tc>
          <w:tcPr>
            <w:tcW w:type="dxa" w:w="2160"/>
          </w:tcPr>
          <w:p>
            <w:r>
              <w:rPr>
                <w:rFonts w:ascii="Calibri" w:hAnsi="Calibri"/>
                <w:b/>
                <w:sz w:val="22"/>
              </w:rPr>
              <w:t>Reporting Period</w:t>
            </w:r>
          </w:p>
        </w:tc>
        <w:tc>
          <w:tcPr>
            <w:tcW w:type="dxa" w:w="2160"/>
          </w:tcPr>
          <w:p>
            <w:r>
              <w:rPr>
                <w:rFonts w:ascii="Calibri" w:hAnsi="Calibri"/>
                <w:sz w:val="22"/>
              </w:rPr>
              <w:t>FY2026 Q4 (Apr–Jun 2026)</w:t>
            </w:r>
          </w:p>
        </w:tc>
      </w:tr>
      <w:tr>
        <w:tc>
          <w:tcPr>
            <w:tcW w:type="dxa" w:w="2160"/>
          </w:tcPr>
          <w:p>
            <w:r>
              <w:rPr>
                <w:rFonts w:ascii="Calibri" w:hAnsi="Calibri"/>
                <w:b/>
                <w:sz w:val="22"/>
              </w:rPr>
              <w:t>Sector</w:t>
            </w:r>
          </w:p>
        </w:tc>
        <w:tc>
          <w:tcPr>
            <w:tcW w:type="dxa" w:w="2160"/>
          </w:tcPr>
          <w:p>
            <w:r>
              <w:rPr>
                <w:rFonts w:ascii="Calibri" w:hAnsi="Calibri"/>
                <w:sz w:val="22"/>
              </w:rPr>
              <w:t>Consumer Staples</w:t>
            </w:r>
          </w:p>
        </w:tc>
        <w:tc>
          <w:tcPr>
            <w:tcW w:type="dxa" w:w="2160"/>
          </w:tcPr>
          <w:p>
            <w:r>
              <w:rPr>
                <w:rFonts w:ascii="Calibri" w:hAnsi="Calibri"/>
                <w:b/>
                <w:sz w:val="22"/>
              </w:rPr>
              <w:t>Prepared</w:t>
            </w:r>
          </w:p>
        </w:tc>
        <w:tc>
          <w:tcPr>
            <w:tcW w:type="dxa" w:w="2160"/>
          </w:tcPr>
          <w:p>
            <w:r>
              <w:rPr>
                <w:rFonts w:ascii="Calibri" w:hAnsi="Calibri"/>
                <w:sz w:val="22"/>
              </w:rPr>
              <w:t>July 28, 2026</w:t>
            </w:r>
          </w:p>
        </w:tc>
      </w:tr>
      <w:tr>
        <w:tc>
          <w:tcPr>
            <w:tcW w:type="dxa" w:w="2160"/>
          </w:tcPr>
          <w:p>
            <w:r>
              <w:rPr>
                <w:rFonts w:ascii="Calibri" w:hAnsi="Calibri"/>
                <w:b/>
                <w:sz w:val="22"/>
              </w:rPr>
              <w:t>Last Close</w:t>
            </w:r>
          </w:p>
        </w:tc>
        <w:tc>
          <w:tcPr>
            <w:tcW w:type="dxa" w:w="2160"/>
          </w:tcPr>
          <w:p>
            <w:r>
              <w:rPr>
                <w:rFonts w:ascii="Calibri" w:hAnsi="Calibri"/>
                <w:sz w:val="22"/>
              </w:rPr>
              <w:t>~$148.91</w:t>
            </w:r>
          </w:p>
        </w:tc>
        <w:tc>
          <w:tcPr>
            <w:tcW w:type="dxa" w:w="2160"/>
          </w:tcPr>
          <w:p>
            <w:r>
              <w:rPr>
                <w:rFonts w:ascii="Calibri" w:hAnsi="Calibri"/>
                <w:b/>
                <w:sz w:val="22"/>
              </w:rPr>
              <w:t>Sector ETF</w:t>
            </w:r>
          </w:p>
        </w:tc>
        <w:tc>
          <w:tcPr>
            <w:tcW w:type="dxa" w:w="2160"/>
          </w:tcPr>
          <w:p>
            <w:r>
              <w:rPr>
                <w:rFonts w:ascii="Calibri" w:hAnsi="Calibri"/>
                <w:sz w:val="22"/>
              </w:rPr>
              <w:t>XLP (Consumer Staples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mixed-to-cautious — consensus is a manageable bar on EPS but organic sales estimates have drifted lower since the April print, and the single biggest swing factor is the magnitude of the Middle East cost headwind landing almost entirely in Q4.</w:t>
      </w:r>
    </w:p>
    <w:p>
      <w:r>
        <w:rPr>
          <w:rFonts w:ascii="Calibri" w:hAnsi="Calibri"/>
          <w:color w:val="525866"/>
          <w:sz w:val="22"/>
        </w:rPr>
        <w:t xml:space="preserve">Heading into PG's FY26 Q4 print, the bar is low-to-moderate: consensus organic sales growth sits at roughly </w:t>
      </w:r>
      <w:r>
        <w:rPr>
          <w:rFonts w:ascii="Calibri" w:hAnsi="Calibri"/>
          <w:b/>
          <w:color w:val="525866"/>
          <w:sz w:val="22"/>
        </w:rPr>
        <w:t>+1.6%</w:t>
      </w:r>
      <w:r>
        <w:rPr>
          <w:rFonts w:ascii="Calibri" w:hAnsi="Calibri"/>
          <w:color w:val="525866"/>
          <w:sz w:val="22"/>
        </w:rPr>
        <w:t xml:space="preserve"> (down from ~+2.2% immediately post the April 24 earnings call), while core EPS consensus of </w:t>
      </w:r>
      <w:r>
        <w:rPr>
          <w:rFonts w:ascii="Calibri" w:hAnsi="Calibri"/>
          <w:b/>
          <w:color w:val="525866"/>
          <w:sz w:val="22"/>
        </w:rPr>
        <w:t>~$1.41</w:t>
      </w:r>
      <w:r>
        <w:rPr>
          <w:rFonts w:ascii="Calibri" w:hAnsi="Calibri"/>
          <w:color w:val="525866"/>
          <w:sz w:val="22"/>
        </w:rPr>
        <w:t xml:space="preserve"> is near the lower end of the full-year guidance range of $6.83–$7.09 — management explicitly guided toward the lower end of that range on April 24. Management's posture since last earnings has been </w:t>
      </w:r>
      <w:r>
        <w:rPr>
          <w:rFonts w:ascii="Calibri" w:hAnsi="Calibri"/>
          <w:b/>
          <w:color w:val="525866"/>
          <w:sz w:val="22"/>
        </w:rPr>
        <w:t>cautiously confident</w:t>
      </w:r>
      <w:r>
        <w:rPr>
          <w:rFonts w:ascii="Calibri" w:hAnsi="Calibri"/>
          <w:color w:val="525866"/>
          <w:sz w:val="22"/>
        </w:rPr>
        <w:t xml:space="preserve">: CFO Schulten at the June 3 Deutsche Bank conference reiterated maintained guidance ranges but flagged softening U.S. consumer trends and incremental Middle East cost impacts, while expressing high conviction in the innovation-led growth trajectory. Estimate revisions have moved </w:t>
      </w:r>
      <w:r>
        <w:rPr>
          <w:rFonts w:ascii="Calibri" w:hAnsi="Calibri"/>
          <w:b/>
          <w:color w:val="525866"/>
          <w:sz w:val="22"/>
        </w:rPr>
        <w:t>modestly lower</w:t>
      </w:r>
      <w:r>
        <w:rPr>
          <w:rFonts w:ascii="Calibri" w:hAnsi="Calibri"/>
          <w:color w:val="525866"/>
          <w:sz w:val="22"/>
        </w:rPr>
        <w:t xml:space="preserve"> since the April print — core EPS for Q4 has slipped from ~$1.43 to ~$1.41 and organic sales from ~+2.2% to ~+1.6% — tracking directionally with management's cautious tone rather than diverging from it, which limits downside surprise risk. The stock is down roughly </w:t>
      </w:r>
      <w:r>
        <w:rPr>
          <w:rFonts w:ascii="Calibri" w:hAnsi="Calibri"/>
          <w:b/>
          <w:color w:val="525866"/>
          <w:sz w:val="22"/>
        </w:rPr>
        <w:t>6% over the past 12 months</w:t>
      </w:r>
      <w:r>
        <w:rPr>
          <w:rFonts w:ascii="Calibri" w:hAnsi="Calibri"/>
          <w:color w:val="525866"/>
          <w:sz w:val="22"/>
        </w:rPr>
        <w:t xml:space="preserve"> and has essentially gone nowhere over 1–3 months, suggesting the market has already priced in a soft quarter and is not positioned for a beat; the NTM P/E of ~21x is modestly below the 12-month-ago level of ~22.7x, offering some valuation support. The key wildcard is the </w:t>
      </w:r>
      <w:r>
        <w:rPr>
          <w:rFonts w:ascii="Calibri" w:hAnsi="Calibri"/>
          <w:b/>
          <w:color w:val="525866"/>
          <w:sz w:val="22"/>
        </w:rPr>
        <w:t>precise after-tax cost impact of the Middle East conflict</w:t>
      </w:r>
      <w:r>
        <w:rPr>
          <w:rFonts w:ascii="Calibri" w:hAnsi="Calibri"/>
          <w:color w:val="525866"/>
          <w:sz w:val="22"/>
        </w:rPr>
        <w:t>: management guided to ~$150M after-tax for the full year with "almost all" landing in Q4, but the range of outcomes around that figure — driven by oil prices, logistics disruptions, and reformulation costs — is wide enough to move EPS by several cents in either direction.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on both organic sales and EPS — organic sales estimates have drifted ~60 bps lower since the April print and EPS is already priced toward the lower end of guidance. </w:t>
      </w:r>
      <w:r>
        <w:rPr>
          <w:rFonts w:ascii="Calibri" w:hAnsi="Calibri"/>
          <w:b/>
          <w:color w:val="525866"/>
          <w:sz w:val="22"/>
        </w:rPr>
        <w:t>Organic sales growth is the bigger swing factor</w:t>
      </w:r>
      <w:r>
        <w:rPr>
          <w:rFonts w:ascii="Calibri" w:hAnsi="Calibri"/>
          <w:color w:val="525866"/>
          <w:sz w:val="22"/>
        </w:rPr>
        <w:t>; a Q3-to-Q4 step-down was explicitly guided (Easter pull-forward ~1 pt headwind), so the question is whether underlying demand held up better than feared.</w:t>
      </w:r>
    </w:p>
    <w:p>
      <w:pPr>
        <w:pStyle w:val="Heading3"/>
      </w:pPr>
      <w:r>
        <w:rPr>
          <w:rFonts w:ascii="Calibri" w:hAnsi="Calibri"/>
          <w:b/>
          <w:color w:val="3B4259"/>
          <w:sz w:val="24"/>
        </w:rPr>
        <w:t>Table 1 — Current Quarter Snapshot (FY26 Q4, Apr–Jun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Qtr Actual (FY26 Q3)</w:t>
            </w:r>
          </w:p>
        </w:tc>
        <w:tc>
          <w:tcPr>
            <w:tcW w:type="dxa" w:w="1234"/>
            <w:shd w:val="clear" w:color="auto" w:fill="3B4259"/>
          </w:tcPr>
          <w:p>
            <w:r>
              <w:rPr>
                <w:rFonts w:ascii="Calibri" w:hAnsi="Calibri"/>
                <w:b/>
                <w:color w:val="FFFFFF"/>
                <w:sz w:val="22"/>
              </w:rPr>
              <w:t>Prior Year Period (FY25 Q4)</w:t>
            </w:r>
          </w:p>
        </w:tc>
        <w:tc>
          <w:tcPr>
            <w:tcW w:type="dxa" w:w="1234"/>
            <w:shd w:val="clear" w:color="auto" w:fill="3B4259"/>
          </w:tcPr>
          <w:p>
            <w:r>
              <w:rPr>
                <w:rFonts w:ascii="Calibri" w:hAnsi="Calibri"/>
                <w:b/>
                <w:color w:val="FFFFFF"/>
                <w:sz w:val="22"/>
              </w:rPr>
              <w:t>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Guidance (FY26 Full Year)</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$21.24B</w:t>
            </w:r>
          </w:p>
        </w:tc>
        <w:tc>
          <w:tcPr>
            <w:tcW w:type="dxa" w:w="1234"/>
          </w:tcPr>
          <w:p>
            <w:r>
              <w:rPr>
                <w:rFonts w:ascii="Calibri" w:hAnsi="Calibri"/>
                <w:sz w:val="22"/>
              </w:rPr>
              <w:t>$20.89B</w:t>
            </w:r>
          </w:p>
        </w:tc>
        <w:tc>
          <w:tcPr>
            <w:tcW w:type="dxa" w:w="1234"/>
          </w:tcPr>
          <w:p>
            <w:r>
              <w:rPr>
                <w:rFonts w:ascii="Calibri" w:hAnsi="Calibri"/>
                <w:sz w:val="22"/>
              </w:rPr>
              <w:t>$21.22B ¹</w:t>
            </w:r>
          </w:p>
        </w:tc>
        <w:tc>
          <w:tcPr>
            <w:tcW w:type="dxa" w:w="1234"/>
          </w:tcPr>
          <w:p>
            <w:r>
              <w:rPr>
                <w:rFonts w:ascii="Calibri" w:hAnsi="Calibri"/>
                <w:sz w:val="22"/>
              </w:rPr>
              <w:t>+1.6% YoY</w:t>
            </w:r>
          </w:p>
        </w:tc>
        <w:tc>
          <w:tcPr>
            <w:tcW w:type="dxa" w:w="1234"/>
          </w:tcPr>
          <w:p>
            <w:r>
              <w:rPr>
                <w:rFonts w:ascii="Calibri" w:hAnsi="Calibri"/>
                <w:sz w:val="22"/>
              </w:rPr>
              <w:t>Organic 0% to +4%</w:t>
            </w:r>
          </w:p>
        </w:tc>
        <w:tc>
          <w:tcPr>
            <w:tcW w:type="dxa" w:w="1234"/>
          </w:tcPr>
          <w:p>
            <w:r>
              <w:rPr>
                <w:rFonts w:ascii="Calibri" w:hAnsi="Calibri"/>
                <w:sz w:val="22"/>
              </w:rPr>
              <w:t>Within range</w:t>
            </w:r>
          </w:p>
        </w:tc>
      </w:tr>
      <w:tr>
        <w:tc>
          <w:tcPr>
            <w:tcW w:type="dxa" w:w="1234"/>
          </w:tcPr>
          <w:p>
            <w:r>
              <w:rPr>
                <w:rFonts w:ascii="Calibri" w:hAnsi="Calibri"/>
                <w:sz w:val="22"/>
              </w:rPr>
              <w:t>Organic Sales Growth (Consolidated)</w:t>
            </w:r>
          </w:p>
        </w:tc>
        <w:tc>
          <w:tcPr>
            <w:tcW w:type="dxa" w:w="1234"/>
          </w:tcPr>
          <w:p>
            <w:r>
              <w:rPr>
                <w:rFonts w:ascii="Calibri" w:hAnsi="Calibri"/>
                <w:sz w:val="22"/>
              </w:rPr>
              <w:t>+3.0%</w:t>
            </w:r>
          </w:p>
        </w:tc>
        <w:tc>
          <w:tcPr>
            <w:tcW w:type="dxa" w:w="1234"/>
          </w:tcPr>
          <w:p>
            <w:r>
              <w:rPr>
                <w:rFonts w:ascii="Calibri" w:hAnsi="Calibri"/>
                <w:sz w:val="22"/>
              </w:rPr>
              <w:t>+2.0%</w:t>
            </w:r>
          </w:p>
        </w:tc>
        <w:tc>
          <w:tcPr>
            <w:tcW w:type="dxa" w:w="1234"/>
          </w:tcPr>
          <w:p>
            <w:r>
              <w:rPr>
                <w:rFonts w:ascii="Calibri" w:hAnsi="Calibri"/>
                <w:sz w:val="22"/>
              </w:rPr>
              <w:t>+1.6% ²</w:t>
            </w:r>
          </w:p>
        </w:tc>
        <w:tc>
          <w:tcPr>
            <w:tcW w:type="dxa" w:w="1234"/>
          </w:tcPr>
          <w:p>
            <w:r>
              <w:rPr>
                <w:rFonts w:ascii="Calibri" w:hAnsi="Calibri"/>
                <w:sz w:val="22"/>
              </w:rPr>
              <w:t>-40 bps YoY</w:t>
            </w:r>
          </w:p>
        </w:tc>
        <w:tc>
          <w:tcPr>
            <w:tcW w:type="dxa" w:w="1234"/>
          </w:tcPr>
          <w:p>
            <w:r>
              <w:rPr>
                <w:rFonts w:ascii="Calibri" w:hAnsi="Calibri"/>
                <w:sz w:val="22"/>
              </w:rPr>
              <w:t>0% to +4%</w:t>
            </w:r>
          </w:p>
        </w:tc>
        <w:tc>
          <w:tcPr>
            <w:tcW w:type="dxa" w:w="1234"/>
          </w:tcPr>
          <w:p>
            <w:r>
              <w:rPr>
                <w:rFonts w:ascii="Calibri" w:hAnsi="Calibri"/>
                <w:sz w:val="22"/>
              </w:rPr>
              <w:t>Low end of range</w:t>
            </w:r>
          </w:p>
        </w:tc>
      </w:tr>
      <w:tr>
        <w:tc>
          <w:tcPr>
            <w:tcW w:type="dxa" w:w="1234"/>
          </w:tcPr>
          <w:p>
            <w:r>
              <w:rPr>
                <w:rFonts w:ascii="Calibri" w:hAnsi="Calibri"/>
                <w:sz w:val="22"/>
              </w:rPr>
              <w:t>Volume Growth (Consolidated)</w:t>
            </w:r>
          </w:p>
        </w:tc>
        <w:tc>
          <w:tcPr>
            <w:tcW w:type="dxa" w:w="1234"/>
          </w:tcPr>
          <w:p>
            <w:r>
              <w:rPr>
                <w:rFonts w:ascii="Calibri" w:hAnsi="Calibri"/>
                <w:sz w:val="22"/>
              </w:rPr>
              <w:t>+2.0%</w:t>
            </w:r>
          </w:p>
        </w:tc>
        <w:tc>
          <w:tcPr>
            <w:tcW w:type="dxa" w:w="1234"/>
          </w:tcPr>
          <w:p>
            <w:r>
              <w:rPr>
                <w:rFonts w:ascii="Calibri" w:hAnsi="Calibri"/>
                <w:sz w:val="22"/>
              </w:rPr>
              <w:t>0.0%</w:t>
            </w:r>
          </w:p>
        </w:tc>
        <w:tc>
          <w:tcPr>
            <w:tcW w:type="dxa" w:w="1234"/>
          </w:tcPr>
          <w:p>
            <w:r>
              <w:rPr>
                <w:rFonts w:ascii="Calibri" w:hAnsi="Calibri"/>
                <w:sz w:val="22"/>
              </w:rPr>
              <w:t>+0.6% ²</w:t>
            </w:r>
          </w:p>
        </w:tc>
        <w:tc>
          <w:tcPr>
            <w:tcW w:type="dxa" w:w="1234"/>
          </w:tcPr>
          <w:p>
            <w:r>
              <w:rPr>
                <w:rFonts w:ascii="Calibri" w:hAnsi="Calibri"/>
                <w:sz w:val="22"/>
              </w:rPr>
              <w:t>+60 bps YoY</w:t>
            </w:r>
          </w:p>
        </w:tc>
        <w:tc>
          <w:tcPr>
            <w:tcW w:type="dxa" w:w="1234"/>
          </w:tcPr>
          <w:p>
            <w:r>
              <w:rPr>
                <w:rFonts w:ascii="Calibri" w:hAnsi="Calibri"/>
                <w:sz w:val="22"/>
              </w:rPr>
              <w:t>N/A (not guided separately)</w:t>
            </w:r>
          </w:p>
        </w:tc>
        <w:tc>
          <w:tcPr>
            <w:tcW w:type="dxa" w:w="1234"/>
          </w:tcPr>
          <w:p>
            <w:r>
              <w:rPr>
                <w:rFonts w:ascii="Calibri" w:hAnsi="Calibri"/>
                <w:sz w:val="22"/>
              </w:rPr>
              <w:t>N/A</w:t>
            </w:r>
          </w:p>
        </w:tc>
      </w:tr>
      <w:tr>
        <w:tc>
          <w:tcPr>
            <w:tcW w:type="dxa" w:w="1234"/>
          </w:tcPr>
          <w:p>
            <w:r>
              <w:rPr>
                <w:rFonts w:ascii="Calibri" w:hAnsi="Calibri"/>
                <w:sz w:val="22"/>
              </w:rPr>
              <w:t>Core EPS - Diluted Operating ($)</w:t>
            </w:r>
          </w:p>
        </w:tc>
        <w:tc>
          <w:tcPr>
            <w:tcW w:type="dxa" w:w="1234"/>
          </w:tcPr>
          <w:p>
            <w:r>
              <w:rPr>
                <w:rFonts w:ascii="Calibri" w:hAnsi="Calibri"/>
                <w:sz w:val="22"/>
              </w:rPr>
              <w:t>$1.59</w:t>
            </w:r>
          </w:p>
        </w:tc>
        <w:tc>
          <w:tcPr>
            <w:tcW w:type="dxa" w:w="1234"/>
          </w:tcPr>
          <w:p>
            <w:r>
              <w:rPr>
                <w:rFonts w:ascii="Calibri" w:hAnsi="Calibri"/>
                <w:sz w:val="22"/>
              </w:rPr>
              <w:t>$1.48</w:t>
            </w:r>
          </w:p>
        </w:tc>
        <w:tc>
          <w:tcPr>
            <w:tcW w:type="dxa" w:w="1234"/>
          </w:tcPr>
          <w:p>
            <w:r>
              <w:rPr>
                <w:rFonts w:ascii="Calibri" w:hAnsi="Calibri"/>
                <w:sz w:val="22"/>
              </w:rPr>
              <w:t>$1.41 ¹</w:t>
            </w:r>
          </w:p>
        </w:tc>
        <w:tc>
          <w:tcPr>
            <w:tcW w:type="dxa" w:w="1234"/>
          </w:tcPr>
          <w:p>
            <w:r>
              <w:rPr>
                <w:rFonts w:ascii="Calibri" w:hAnsi="Calibri"/>
                <w:sz w:val="22"/>
              </w:rPr>
              <w:t>-4.7% YoY</w:t>
            </w:r>
          </w:p>
        </w:tc>
        <w:tc>
          <w:tcPr>
            <w:tcW w:type="dxa" w:w="1234"/>
          </w:tcPr>
          <w:p>
            <w:r>
              <w:rPr>
                <w:rFonts w:ascii="Calibri" w:hAnsi="Calibri"/>
                <w:sz w:val="22"/>
              </w:rPr>
              <w:t>$6.83–$7.09 FY (lower end)</w:t>
            </w:r>
          </w:p>
        </w:tc>
        <w:tc>
          <w:tcPr>
            <w:tcW w:type="dxa" w:w="1234"/>
          </w:tcPr>
          <w:p>
            <w:r>
              <w:rPr>
                <w:rFonts w:ascii="Calibri" w:hAnsi="Calibri"/>
                <w:sz w:val="22"/>
              </w:rPr>
              <w:t>~$6.87 FY est. vs. $6.83 low end; within range</w:t>
            </w:r>
          </w:p>
        </w:tc>
      </w:tr>
      <w:tr>
        <w:tc>
          <w:tcPr>
            <w:tcW w:type="dxa" w:w="1234"/>
          </w:tcPr>
          <w:p>
            <w:r>
              <w:rPr>
                <w:rFonts w:ascii="Calibri" w:hAnsi="Calibri"/>
                <w:sz w:val="22"/>
              </w:rPr>
              <w:t>Gross Profit ($B)</w:t>
            </w:r>
          </w:p>
        </w:tc>
        <w:tc>
          <w:tcPr>
            <w:tcW w:type="dxa" w:w="1234"/>
          </w:tcPr>
          <w:p>
            <w:r>
              <w:rPr>
                <w:rFonts w:ascii="Calibri" w:hAnsi="Calibri"/>
                <w:sz w:val="22"/>
              </w:rPr>
              <w:t>N/A — not separately reported pre-print</w:t>
            </w:r>
          </w:p>
        </w:tc>
        <w:tc>
          <w:tcPr>
            <w:tcW w:type="dxa" w:w="1234"/>
          </w:tcPr>
          <w:p>
            <w:r>
              <w:rPr>
                <w:rFonts w:ascii="Calibri" w:hAnsi="Calibri"/>
                <w:sz w:val="22"/>
              </w:rPr>
              <w:t>N/A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Adj. Free Cash Flow Productivity</w:t>
            </w:r>
          </w:p>
        </w:tc>
        <w:tc>
          <w:tcPr>
            <w:tcW w:type="dxa" w:w="1234"/>
          </w:tcPr>
          <w:p>
            <w:r>
              <w:rPr>
                <w:rFonts w:ascii="Calibri" w:hAnsi="Calibri"/>
                <w:sz w:val="22"/>
              </w:rPr>
              <w:t>82% (Q3 FY26)</w:t>
            </w:r>
          </w:p>
        </w:tc>
        <w:tc>
          <w:tcPr>
            <w:tcW w:type="dxa" w:w="1234"/>
          </w:tcPr>
          <w:p>
            <w:r>
              <w:rPr>
                <w:rFonts w:ascii="Calibri" w:hAnsi="Calibri"/>
                <w:sz w:val="22"/>
              </w:rPr>
              <w:t>N/A (FY25 full year)</w:t>
            </w:r>
          </w:p>
        </w:tc>
        <w:tc>
          <w:tcPr>
            <w:tcW w:type="dxa" w:w="1234"/>
          </w:tcPr>
          <w:p>
            <w:r>
              <w:rPr>
                <w:rFonts w:ascii="Calibri" w:hAnsi="Calibri"/>
                <w:sz w:val="22"/>
              </w:rPr>
              <w:t>N/A — not in VA (quarterly)</w:t>
            </w:r>
          </w:p>
        </w:tc>
        <w:tc>
          <w:tcPr>
            <w:tcW w:type="dxa" w:w="1234"/>
          </w:tcPr>
          <w:p>
            <w:r>
              <w:rPr>
                <w:rFonts w:ascii="Calibri" w:hAnsi="Calibri"/>
                <w:sz w:val="22"/>
              </w:rPr>
              <w:t>N/A</w:t>
            </w:r>
          </w:p>
        </w:tc>
        <w:tc>
          <w:tcPr>
            <w:tcW w:type="dxa" w:w="1234"/>
          </w:tcPr>
          <w:p>
            <w:r>
              <w:rPr>
                <w:rFonts w:ascii="Calibri" w:hAnsi="Calibri"/>
                <w:sz w:val="22"/>
              </w:rPr>
              <w:t>85%–90% FY26</w:t>
            </w:r>
          </w:p>
        </w:tc>
        <w:tc>
          <w:tcPr>
            <w:tcW w:type="dxa" w:w="1234"/>
          </w:tcPr>
          <w:p>
            <w:r>
              <w:rPr>
                <w:rFonts w:ascii="Calibri" w:hAnsi="Calibri"/>
                <w:sz w:val="22"/>
              </w:rPr>
              <w:t>N/A</w:t>
            </w:r>
          </w:p>
        </w:tc>
      </w:tr>
    </w:tbl>
    <w:p>
      <w:r>
        <w:rPr>
          <w:rFonts w:ascii="Calibri" w:hAnsi="Calibri"/>
          <w:i/>
          <w:color w:val="525866"/>
          <w:sz w:val="22"/>
        </w:rPr>
        <w:t>¹ Visible Alpha Consensus and Actuals Data</w:t>
      </w:r>
      <w:r>
        <w:rPr>
          <w:rFonts w:ascii="Calibri" w:hAnsi="Calibri"/>
          <w:color w:val="525866"/>
          <w:sz w:val="22"/>
        </w:rPr>
        <w:t xml:space="preserve"> | </w:t>
      </w:r>
      <w:r>
        <w:rPr>
          <w:rFonts w:ascii="Calibri" w:hAnsi="Calibri"/>
          <w:i/>
          <w:color w:val="525866"/>
          <w:sz w:val="22"/>
        </w:rPr>
        <w:t>² Visible Alpha Consensus and Actuals Data</w:t>
      </w:r>
      <w:r>
        <w:rPr>
          <w:rFonts w:ascii="Calibri" w:hAnsi="Calibri"/>
          <w:color w:val="525866"/>
          <w:sz w:val="22"/>
        </w:rPr>
        <w:t>. Note: FY26 Q4 actuals not yet reported as of preparation date. Last Qtr Actual = FY26 Q3 (Jan–Mar 2026) reported April 24, 2026. Prior Year Period = FY25 Q4 (Apr–Jun 2025). Core EPS YoY decline reflects ~$150M after-tax Middle East cost headwind concentrated in Q4 per management guidance.</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A. Core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FY26 Q3 (Mar 2026)</w:t>
            </w:r>
          </w:p>
        </w:tc>
        <w:tc>
          <w:tcPr>
            <w:tcW w:type="dxa" w:w="1728"/>
          </w:tcPr>
          <w:p>
            <w:r>
              <w:rPr>
                <w:rFonts w:ascii="Calibri" w:hAnsi="Calibri"/>
                <w:sz w:val="22"/>
              </w:rPr>
              <w:t>$1.59</w:t>
            </w:r>
          </w:p>
        </w:tc>
        <w:tc>
          <w:tcPr>
            <w:tcW w:type="dxa" w:w="1728"/>
          </w:tcPr>
          <w:p>
            <w:r>
              <w:rPr>
                <w:rFonts w:ascii="Calibri" w:hAnsi="Calibri"/>
                <w:sz w:val="22"/>
              </w:rPr>
              <w:t>$1.556</w:t>
            </w:r>
          </w:p>
        </w:tc>
        <w:tc>
          <w:tcPr>
            <w:tcW w:type="dxa" w:w="1728"/>
          </w:tcPr>
          <w:p>
            <w:r>
              <w:rPr>
                <w:rFonts w:ascii="Calibri" w:hAnsi="Calibri"/>
                <w:b/>
                <w:color w:val="30A46C"/>
                <w:sz w:val="22"/>
              </w:rPr>
              <w:t>+2.2%</w:t>
            </w:r>
          </w:p>
        </w:tc>
        <w:tc>
          <w:tcPr>
            <w:tcW w:type="dxa" w:w="1728"/>
          </w:tcPr>
          <w:p>
            <w:r>
              <w:rPr>
                <w:rFonts w:ascii="Calibri" w:hAnsi="Calibri"/>
                <w:sz w:val="22"/>
              </w:rPr>
              <w:t>Beat</w:t>
            </w:r>
          </w:p>
        </w:tc>
      </w:tr>
      <w:tr>
        <w:tc>
          <w:tcPr>
            <w:tcW w:type="dxa" w:w="1728"/>
          </w:tcPr>
          <w:p>
            <w:r>
              <w:rPr>
                <w:rFonts w:ascii="Calibri" w:hAnsi="Calibri"/>
                <w:sz w:val="22"/>
              </w:rPr>
              <w:t>FY26 Q2 (Dec 2025)</w:t>
            </w:r>
          </w:p>
        </w:tc>
        <w:tc>
          <w:tcPr>
            <w:tcW w:type="dxa" w:w="1728"/>
          </w:tcPr>
          <w:p>
            <w:r>
              <w:rPr>
                <w:rFonts w:ascii="Calibri" w:hAnsi="Calibri"/>
                <w:sz w:val="22"/>
              </w:rPr>
              <w:t>$1.88</w:t>
            </w:r>
          </w:p>
        </w:tc>
        <w:tc>
          <w:tcPr>
            <w:tcW w:type="dxa" w:w="1728"/>
          </w:tcPr>
          <w:p>
            <w:r>
              <w:rPr>
                <w:rFonts w:ascii="Calibri" w:hAnsi="Calibri"/>
                <w:sz w:val="22"/>
              </w:rPr>
              <w:t>$1.872</w:t>
            </w:r>
          </w:p>
        </w:tc>
        <w:tc>
          <w:tcPr>
            <w:tcW w:type="dxa" w:w="1728"/>
          </w:tcPr>
          <w:p>
            <w:r>
              <w:rPr>
                <w:rFonts w:ascii="Calibri" w:hAnsi="Calibri"/>
                <w:b/>
                <w:color w:val="30A46C"/>
                <w:sz w:val="22"/>
              </w:rPr>
              <w:t>+0.4%</w:t>
            </w:r>
          </w:p>
        </w:tc>
        <w:tc>
          <w:tcPr>
            <w:tcW w:type="dxa" w:w="1728"/>
          </w:tcPr>
          <w:p>
            <w:r>
              <w:rPr>
                <w:rFonts w:ascii="Calibri" w:hAnsi="Calibri"/>
                <w:sz w:val="22"/>
              </w:rPr>
              <w:t>Beat</w:t>
            </w:r>
          </w:p>
        </w:tc>
      </w:tr>
      <w:tr>
        <w:tc>
          <w:tcPr>
            <w:tcW w:type="dxa" w:w="1728"/>
          </w:tcPr>
          <w:p>
            <w:r>
              <w:rPr>
                <w:rFonts w:ascii="Calibri" w:hAnsi="Calibri"/>
                <w:sz w:val="22"/>
              </w:rPr>
              <w:t>FY26 Q1 (Sep 2025)</w:t>
            </w:r>
          </w:p>
        </w:tc>
        <w:tc>
          <w:tcPr>
            <w:tcW w:type="dxa" w:w="1728"/>
          </w:tcPr>
          <w:p>
            <w:r>
              <w:rPr>
                <w:rFonts w:ascii="Calibri" w:hAnsi="Calibri"/>
                <w:sz w:val="22"/>
              </w:rPr>
              <w:t>$1.99</w:t>
            </w:r>
          </w:p>
        </w:tc>
        <w:tc>
          <w:tcPr>
            <w:tcW w:type="dxa" w:w="1728"/>
          </w:tcPr>
          <w:p>
            <w:r>
              <w:rPr>
                <w:rFonts w:ascii="Calibri" w:hAnsi="Calibri"/>
                <w:sz w:val="22"/>
              </w:rPr>
              <w:t>$1.893</w:t>
            </w:r>
          </w:p>
        </w:tc>
        <w:tc>
          <w:tcPr>
            <w:tcW w:type="dxa" w:w="1728"/>
          </w:tcPr>
          <w:p>
            <w:r>
              <w:rPr>
                <w:rFonts w:ascii="Calibri" w:hAnsi="Calibri"/>
                <w:b/>
                <w:color w:val="30A46C"/>
                <w:sz w:val="22"/>
              </w:rPr>
              <w:t>+5.1%</w:t>
            </w:r>
          </w:p>
        </w:tc>
        <w:tc>
          <w:tcPr>
            <w:tcW w:type="dxa" w:w="1728"/>
          </w:tcPr>
          <w:p>
            <w:r>
              <w:rPr>
                <w:rFonts w:ascii="Calibri" w:hAnsi="Calibri"/>
                <w:sz w:val="22"/>
              </w:rPr>
              <w:t>Beat</w:t>
            </w:r>
          </w:p>
        </w:tc>
      </w:tr>
      <w:tr>
        <w:tc>
          <w:tcPr>
            <w:tcW w:type="dxa" w:w="1728"/>
          </w:tcPr>
          <w:p>
            <w:r>
              <w:rPr>
                <w:rFonts w:ascii="Calibri" w:hAnsi="Calibri"/>
                <w:sz w:val="22"/>
              </w:rPr>
              <w:t>FY25 Q4 (Jun 2025)</w:t>
            </w:r>
          </w:p>
        </w:tc>
        <w:tc>
          <w:tcPr>
            <w:tcW w:type="dxa" w:w="1728"/>
          </w:tcPr>
          <w:p>
            <w:r>
              <w:rPr>
                <w:rFonts w:ascii="Calibri" w:hAnsi="Calibri"/>
                <w:sz w:val="22"/>
              </w:rPr>
              <w:t>$1.48</w:t>
            </w:r>
          </w:p>
        </w:tc>
        <w:tc>
          <w:tcPr>
            <w:tcW w:type="dxa" w:w="1728"/>
          </w:tcPr>
          <w:p>
            <w:r>
              <w:rPr>
                <w:rFonts w:ascii="Calibri" w:hAnsi="Calibri"/>
                <w:sz w:val="22"/>
              </w:rPr>
              <w:t>$1.427</w:t>
            </w:r>
          </w:p>
        </w:tc>
        <w:tc>
          <w:tcPr>
            <w:tcW w:type="dxa" w:w="1728"/>
          </w:tcPr>
          <w:p>
            <w:r>
              <w:rPr>
                <w:rFonts w:ascii="Calibri" w:hAnsi="Calibri"/>
                <w:b/>
                <w:color w:val="30A46C"/>
                <w:sz w:val="22"/>
              </w:rPr>
              <w:t>+3.7%</w:t>
            </w:r>
          </w:p>
        </w:tc>
        <w:tc>
          <w:tcPr>
            <w:tcW w:type="dxa" w:w="1728"/>
          </w:tcPr>
          <w:p>
            <w:r>
              <w:rPr>
                <w:rFonts w:ascii="Calibri" w:hAnsi="Calibri"/>
                <w:sz w:val="22"/>
              </w:rPr>
              <w:t>Beat</w:t>
            </w:r>
          </w:p>
        </w:tc>
      </w:tr>
      <w:tr>
        <w:tc>
          <w:tcPr>
            <w:tcW w:type="dxa" w:w="1728"/>
          </w:tcPr>
          <w:p>
            <w:r>
              <w:rPr>
                <w:rFonts w:ascii="Calibri" w:hAnsi="Calibri"/>
                <w:sz w:val="22"/>
              </w:rPr>
              <w:t>FY25 Q3 (Mar 2025)</w:t>
            </w:r>
          </w:p>
        </w:tc>
        <w:tc>
          <w:tcPr>
            <w:tcW w:type="dxa" w:w="1728"/>
          </w:tcPr>
          <w:p>
            <w:r>
              <w:rPr>
                <w:rFonts w:ascii="Calibri" w:hAnsi="Calibri"/>
                <w:sz w:val="22"/>
              </w:rPr>
              <w:t>$1.54</w:t>
            </w:r>
          </w:p>
        </w:tc>
        <w:tc>
          <w:tcPr>
            <w:tcW w:type="dxa" w:w="1728"/>
          </w:tcPr>
          <w:p>
            <w:r>
              <w:rPr>
                <w:rFonts w:ascii="Calibri" w:hAnsi="Calibri"/>
                <w:sz w:val="22"/>
              </w:rPr>
              <w:t>$1.533</w:t>
            </w:r>
          </w:p>
        </w:tc>
        <w:tc>
          <w:tcPr>
            <w:tcW w:type="dxa" w:w="1728"/>
          </w:tcPr>
          <w:p>
            <w:r>
              <w:rPr>
                <w:rFonts w:ascii="Calibri" w:hAnsi="Calibri"/>
                <w:b/>
                <w:color w:val="30A46C"/>
                <w:sz w:val="22"/>
              </w:rPr>
              <w:t>+0.5%</w:t>
            </w:r>
          </w:p>
        </w:tc>
        <w:tc>
          <w:tcPr>
            <w:tcW w:type="dxa" w:w="1728"/>
          </w:tcPr>
          <w:p>
            <w:r>
              <w:rPr>
                <w:rFonts w:ascii="Calibri" w:hAnsi="Calibri"/>
                <w:sz w:val="22"/>
              </w:rPr>
              <w:t>Beat</w:t>
            </w:r>
          </w:p>
        </w:tc>
      </w:tr>
      <w:tr>
        <w:tc>
          <w:tcPr>
            <w:tcW w:type="dxa" w:w="1728"/>
          </w:tcPr>
          <w:p>
            <w:r>
              <w:rPr>
                <w:rFonts w:ascii="Calibri" w:hAnsi="Calibri"/>
                <w:sz w:val="22"/>
              </w:rPr>
              <w:t>FY25 Q2 (Dec 2024)</w:t>
            </w:r>
          </w:p>
        </w:tc>
        <w:tc>
          <w:tcPr>
            <w:tcW w:type="dxa" w:w="1728"/>
          </w:tcPr>
          <w:p>
            <w:r>
              <w:rPr>
                <w:rFonts w:ascii="Calibri" w:hAnsi="Calibri"/>
                <w:sz w:val="22"/>
              </w:rPr>
              <w:t>$1.88</w:t>
            </w:r>
          </w:p>
        </w:tc>
        <w:tc>
          <w:tcPr>
            <w:tcW w:type="dxa" w:w="1728"/>
          </w:tcPr>
          <w:p>
            <w:r>
              <w:rPr>
                <w:rFonts w:ascii="Calibri" w:hAnsi="Calibri"/>
                <w:sz w:val="22"/>
              </w:rPr>
              <w:t>$1.872</w:t>
            </w:r>
          </w:p>
        </w:tc>
        <w:tc>
          <w:tcPr>
            <w:tcW w:type="dxa" w:w="1728"/>
          </w:tcPr>
          <w:p>
            <w:r>
              <w:rPr>
                <w:rFonts w:ascii="Calibri" w:hAnsi="Calibri"/>
                <w:b/>
                <w:color w:val="30A46C"/>
                <w:sz w:val="22"/>
              </w:rPr>
              <w:t>+0.4%</w:t>
            </w:r>
          </w:p>
        </w:tc>
        <w:tc>
          <w:tcPr>
            <w:tcW w:type="dxa" w:w="1728"/>
          </w:tcPr>
          <w:p>
            <w:r>
              <w:rPr>
                <w:rFonts w:ascii="Calibri" w:hAnsi="Calibri"/>
                <w:sz w:val="22"/>
              </w:rPr>
              <w:t>Beat</w:t>
            </w:r>
          </w:p>
        </w:tc>
      </w:tr>
      <w:tr>
        <w:tc>
          <w:tcPr>
            <w:tcW w:type="dxa" w:w="1728"/>
          </w:tcPr>
          <w:p>
            <w:r>
              <w:rPr>
                <w:rFonts w:ascii="Calibri" w:hAnsi="Calibri"/>
                <w:sz w:val="22"/>
              </w:rPr>
              <w:t>FY25 Q1 (Sep 2024)</w:t>
            </w:r>
          </w:p>
        </w:tc>
        <w:tc>
          <w:tcPr>
            <w:tcW w:type="dxa" w:w="1728"/>
          </w:tcPr>
          <w:p>
            <w:r>
              <w:rPr>
                <w:rFonts w:ascii="Calibri" w:hAnsi="Calibri"/>
                <w:sz w:val="22"/>
              </w:rPr>
              <w:t>$1.93</w:t>
            </w:r>
          </w:p>
        </w:tc>
        <w:tc>
          <w:tcPr>
            <w:tcW w:type="dxa" w:w="1728"/>
          </w:tcPr>
          <w:p>
            <w:r>
              <w:rPr>
                <w:rFonts w:ascii="Calibri" w:hAnsi="Calibri"/>
                <w:sz w:val="22"/>
              </w:rPr>
              <w:t>$1.905</w:t>
            </w:r>
          </w:p>
        </w:tc>
        <w:tc>
          <w:tcPr>
            <w:tcW w:type="dxa" w:w="1728"/>
          </w:tcPr>
          <w:p>
            <w:r>
              <w:rPr>
                <w:rFonts w:ascii="Calibri" w:hAnsi="Calibri"/>
                <w:b/>
                <w:color w:val="30A46C"/>
                <w:sz w:val="22"/>
              </w:rPr>
              <w:t>+1.3%</w:t>
            </w:r>
          </w:p>
        </w:tc>
        <w:tc>
          <w:tcPr>
            <w:tcW w:type="dxa" w:w="1728"/>
          </w:tcPr>
          <w:p>
            <w:r>
              <w:rPr>
                <w:rFonts w:ascii="Calibri" w:hAnsi="Calibri"/>
                <w:sz w:val="22"/>
              </w:rPr>
              <w:t>Beat</w:t>
            </w:r>
          </w:p>
        </w:tc>
      </w:tr>
      <w:tr>
        <w:tc>
          <w:tcPr>
            <w:tcW w:type="dxa" w:w="1728"/>
          </w:tcPr>
          <w:p>
            <w:r>
              <w:rPr>
                <w:rFonts w:ascii="Calibri" w:hAnsi="Calibri"/>
                <w:sz w:val="22"/>
              </w:rPr>
              <w:t>FY24 Q4 (Jun 2024)</w:t>
            </w:r>
          </w:p>
        </w:tc>
        <w:tc>
          <w:tcPr>
            <w:tcW w:type="dxa" w:w="1728"/>
          </w:tcPr>
          <w:p>
            <w:r>
              <w:rPr>
                <w:rFonts w:ascii="Calibri" w:hAnsi="Calibri"/>
                <w:sz w:val="22"/>
              </w:rPr>
              <w:t>$1.40</w:t>
            </w:r>
          </w:p>
        </w:tc>
        <w:tc>
          <w:tcPr>
            <w:tcW w:type="dxa" w:w="1728"/>
          </w:tcPr>
          <w:p>
            <w:r>
              <w:rPr>
                <w:rFonts w:ascii="Calibri" w:hAnsi="Calibri"/>
                <w:sz w:val="22"/>
              </w:rPr>
              <w:t>$1.368</w:t>
            </w:r>
          </w:p>
        </w:tc>
        <w:tc>
          <w:tcPr>
            <w:tcW w:type="dxa" w:w="1728"/>
          </w:tcPr>
          <w:p>
            <w:r>
              <w:rPr>
                <w:rFonts w:ascii="Calibri" w:hAnsi="Calibri"/>
                <w:b/>
                <w:color w:val="30A46C"/>
                <w:sz w:val="22"/>
              </w:rPr>
              <w:t>+2.3%</w:t>
            </w:r>
          </w:p>
        </w:tc>
        <w:tc>
          <w:tcPr>
            <w:tcW w:type="dxa" w:w="1728"/>
          </w:tcPr>
          <w:p>
            <w:r>
              <w:rPr>
                <w:rFonts w:ascii="Calibri" w:hAnsi="Calibri"/>
                <w:sz w:val="22"/>
              </w:rPr>
              <w:t>Beat</w:t>
            </w:r>
          </w:p>
        </w:tc>
      </w:tr>
    </w:tbl>
    <w:p>
      <w:pPr>
        <w:pStyle w:val="Heading4"/>
      </w:pPr>
      <w:r>
        <w:rPr>
          <w:rFonts w:ascii="Calibri" w:hAnsi="Calibri"/>
          <w:b/>
          <w:color w:val="3B4259"/>
          <w:sz w:val="22"/>
        </w:rPr>
        <w:t>B. Organic Sales Growth — Consolidated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FY26 Q3 (Mar 2026)</w:t>
            </w:r>
          </w:p>
        </w:tc>
        <w:tc>
          <w:tcPr>
            <w:tcW w:type="dxa" w:w="1728"/>
          </w:tcPr>
          <w:p>
            <w:r>
              <w:rPr>
                <w:rFonts w:ascii="Calibri" w:hAnsi="Calibri"/>
                <w:sz w:val="22"/>
              </w:rPr>
              <w:t>+3.0%</w:t>
            </w:r>
          </w:p>
        </w:tc>
        <w:tc>
          <w:tcPr>
            <w:tcW w:type="dxa" w:w="1728"/>
          </w:tcPr>
          <w:p>
            <w:r>
              <w:rPr>
                <w:rFonts w:ascii="Calibri" w:hAnsi="Calibri"/>
                <w:sz w:val="22"/>
              </w:rPr>
              <w:t>+1.9%</w:t>
            </w:r>
          </w:p>
        </w:tc>
        <w:tc>
          <w:tcPr>
            <w:tcW w:type="dxa" w:w="1728"/>
          </w:tcPr>
          <w:p>
            <w:r>
              <w:rPr>
                <w:rFonts w:ascii="Calibri" w:hAnsi="Calibri"/>
                <w:b/>
                <w:color w:val="30A46C"/>
                <w:sz w:val="22"/>
              </w:rPr>
              <w:t>+110 bps</w:t>
            </w:r>
          </w:p>
        </w:tc>
        <w:tc>
          <w:tcPr>
            <w:tcW w:type="dxa" w:w="1728"/>
          </w:tcPr>
          <w:p>
            <w:r>
              <w:rPr>
                <w:rFonts w:ascii="Calibri" w:hAnsi="Calibri"/>
                <w:sz w:val="22"/>
              </w:rPr>
              <w:t>Beat</w:t>
            </w:r>
          </w:p>
        </w:tc>
      </w:tr>
      <w:tr>
        <w:tc>
          <w:tcPr>
            <w:tcW w:type="dxa" w:w="1728"/>
          </w:tcPr>
          <w:p>
            <w:r>
              <w:rPr>
                <w:rFonts w:ascii="Calibri" w:hAnsi="Calibri"/>
                <w:sz w:val="22"/>
              </w:rPr>
              <w:t>FY26 Q2 (Dec 2025)</w:t>
            </w:r>
          </w:p>
        </w:tc>
        <w:tc>
          <w:tcPr>
            <w:tcW w:type="dxa" w:w="1728"/>
          </w:tcPr>
          <w:p>
            <w:r>
              <w:rPr>
                <w:rFonts w:ascii="Calibri" w:hAnsi="Calibri"/>
                <w:sz w:val="22"/>
              </w:rPr>
              <w:t>0.0%</w:t>
            </w:r>
          </w:p>
        </w:tc>
        <w:tc>
          <w:tcPr>
            <w:tcW w:type="dxa" w:w="1728"/>
          </w:tcPr>
          <w:p>
            <w:r>
              <w:rPr>
                <w:rFonts w:ascii="Calibri" w:hAnsi="Calibri"/>
                <w:sz w:val="22"/>
              </w:rPr>
              <w:t>+0.3%</w:t>
            </w:r>
          </w:p>
        </w:tc>
        <w:tc>
          <w:tcPr>
            <w:tcW w:type="dxa" w:w="1728"/>
          </w:tcPr>
          <w:p>
            <w:r>
              <w:rPr>
                <w:rFonts w:ascii="Calibri" w:hAnsi="Calibri"/>
                <w:b/>
                <w:color w:val="E5484D"/>
                <w:sz w:val="22"/>
              </w:rPr>
              <w:t>-30 bps</w:t>
            </w:r>
          </w:p>
        </w:tc>
        <w:tc>
          <w:tcPr>
            <w:tcW w:type="dxa" w:w="1728"/>
          </w:tcPr>
          <w:p>
            <w:r>
              <w:rPr>
                <w:rFonts w:ascii="Calibri" w:hAnsi="Calibri"/>
                <w:sz w:val="22"/>
              </w:rPr>
              <w:t>Miss</w:t>
            </w:r>
          </w:p>
        </w:tc>
      </w:tr>
      <w:tr>
        <w:tc>
          <w:tcPr>
            <w:tcW w:type="dxa" w:w="1728"/>
          </w:tcPr>
          <w:p>
            <w:r>
              <w:rPr>
                <w:rFonts w:ascii="Calibri" w:hAnsi="Calibri"/>
                <w:sz w:val="22"/>
              </w:rPr>
              <w:t>FY26 Q1 (Sep 2025)</w:t>
            </w:r>
          </w:p>
        </w:tc>
        <w:tc>
          <w:tcPr>
            <w:tcW w:type="dxa" w:w="1728"/>
          </w:tcPr>
          <w:p>
            <w:r>
              <w:rPr>
                <w:rFonts w:ascii="Calibri" w:hAnsi="Calibri"/>
                <w:sz w:val="22"/>
              </w:rPr>
              <w:t>+2.0%</w:t>
            </w:r>
          </w:p>
        </w:tc>
        <w:tc>
          <w:tcPr>
            <w:tcW w:type="dxa" w:w="1728"/>
          </w:tcPr>
          <w:p>
            <w:r>
              <w:rPr>
                <w:rFonts w:ascii="Calibri" w:hAnsi="Calibri"/>
                <w:sz w:val="22"/>
              </w:rPr>
              <w:t>+1.3%</w:t>
            </w:r>
          </w:p>
        </w:tc>
        <w:tc>
          <w:tcPr>
            <w:tcW w:type="dxa" w:w="1728"/>
          </w:tcPr>
          <w:p>
            <w:r>
              <w:rPr>
                <w:rFonts w:ascii="Calibri" w:hAnsi="Calibri"/>
                <w:b/>
                <w:color w:val="30A46C"/>
                <w:sz w:val="22"/>
              </w:rPr>
              <w:t>+70 bps</w:t>
            </w:r>
          </w:p>
        </w:tc>
        <w:tc>
          <w:tcPr>
            <w:tcW w:type="dxa" w:w="1728"/>
          </w:tcPr>
          <w:p>
            <w:r>
              <w:rPr>
                <w:rFonts w:ascii="Calibri" w:hAnsi="Calibri"/>
                <w:sz w:val="22"/>
              </w:rPr>
              <w:t>Beat</w:t>
            </w:r>
          </w:p>
        </w:tc>
      </w:tr>
      <w:tr>
        <w:tc>
          <w:tcPr>
            <w:tcW w:type="dxa" w:w="1728"/>
          </w:tcPr>
          <w:p>
            <w:r>
              <w:rPr>
                <w:rFonts w:ascii="Calibri" w:hAnsi="Calibri"/>
                <w:sz w:val="22"/>
              </w:rPr>
              <w:t>FY25 Q4 (Jun 2025)</w:t>
            </w:r>
          </w:p>
        </w:tc>
        <w:tc>
          <w:tcPr>
            <w:tcW w:type="dxa" w:w="1728"/>
          </w:tcPr>
          <w:p>
            <w:r>
              <w:rPr>
                <w:rFonts w:ascii="Calibri" w:hAnsi="Calibri"/>
                <w:sz w:val="22"/>
              </w:rPr>
              <w:t>+2.0%</w:t>
            </w:r>
          </w:p>
        </w:tc>
        <w:tc>
          <w:tcPr>
            <w:tcW w:type="dxa" w:w="1728"/>
          </w:tcPr>
          <w:p>
            <w:r>
              <w:rPr>
                <w:rFonts w:ascii="Calibri" w:hAnsi="Calibri"/>
                <w:sz w:val="22"/>
              </w:rPr>
              <w:t>+1.8%</w:t>
            </w:r>
          </w:p>
        </w:tc>
        <w:tc>
          <w:tcPr>
            <w:tcW w:type="dxa" w:w="1728"/>
          </w:tcPr>
          <w:p>
            <w:r>
              <w:rPr>
                <w:rFonts w:ascii="Calibri" w:hAnsi="Calibri"/>
                <w:b/>
                <w:color w:val="30A46C"/>
                <w:sz w:val="22"/>
              </w:rPr>
              <w:t>+20 bps</w:t>
            </w:r>
          </w:p>
        </w:tc>
        <w:tc>
          <w:tcPr>
            <w:tcW w:type="dxa" w:w="1728"/>
          </w:tcPr>
          <w:p>
            <w:r>
              <w:rPr>
                <w:rFonts w:ascii="Calibri" w:hAnsi="Calibri"/>
                <w:sz w:val="22"/>
              </w:rPr>
              <w:t>Beat</w:t>
            </w:r>
          </w:p>
        </w:tc>
      </w:tr>
      <w:tr>
        <w:tc>
          <w:tcPr>
            <w:tcW w:type="dxa" w:w="1728"/>
          </w:tcPr>
          <w:p>
            <w:r>
              <w:rPr>
                <w:rFonts w:ascii="Calibri" w:hAnsi="Calibri"/>
                <w:sz w:val="22"/>
              </w:rPr>
              <w:t>FY25 Q3 (Mar 2025)</w:t>
            </w:r>
          </w:p>
        </w:tc>
        <w:tc>
          <w:tcPr>
            <w:tcW w:type="dxa" w:w="1728"/>
          </w:tcPr>
          <w:p>
            <w:r>
              <w:rPr>
                <w:rFonts w:ascii="Calibri" w:hAnsi="Calibri"/>
                <w:sz w:val="22"/>
              </w:rPr>
              <w:t>+1.0%</w:t>
            </w:r>
          </w:p>
        </w:tc>
        <w:tc>
          <w:tcPr>
            <w:tcW w:type="dxa" w:w="1728"/>
          </w:tcPr>
          <w:p>
            <w:r>
              <w:rPr>
                <w:rFonts w:ascii="Calibri" w:hAnsi="Calibri"/>
                <w:sz w:val="22"/>
              </w:rPr>
              <w:t>+1.9%</w:t>
            </w:r>
          </w:p>
        </w:tc>
        <w:tc>
          <w:tcPr>
            <w:tcW w:type="dxa" w:w="1728"/>
          </w:tcPr>
          <w:p>
            <w:r>
              <w:rPr>
                <w:rFonts w:ascii="Calibri" w:hAnsi="Calibri"/>
                <w:b/>
                <w:color w:val="E5484D"/>
                <w:sz w:val="22"/>
              </w:rPr>
              <w:t>-90 bps</w:t>
            </w:r>
          </w:p>
        </w:tc>
        <w:tc>
          <w:tcPr>
            <w:tcW w:type="dxa" w:w="1728"/>
          </w:tcPr>
          <w:p>
            <w:r>
              <w:rPr>
                <w:rFonts w:ascii="Calibri" w:hAnsi="Calibri"/>
                <w:sz w:val="22"/>
              </w:rPr>
              <w:t>Miss</w:t>
            </w:r>
          </w:p>
        </w:tc>
      </w:tr>
      <w:tr>
        <w:tc>
          <w:tcPr>
            <w:tcW w:type="dxa" w:w="1728"/>
          </w:tcPr>
          <w:p>
            <w:r>
              <w:rPr>
                <w:rFonts w:ascii="Calibri" w:hAnsi="Calibri"/>
                <w:sz w:val="22"/>
              </w:rPr>
              <w:t>FY25 Q2 (Dec 2024)</w:t>
            </w:r>
          </w:p>
        </w:tc>
        <w:tc>
          <w:tcPr>
            <w:tcW w:type="dxa" w:w="1728"/>
          </w:tcPr>
          <w:p>
            <w:r>
              <w:rPr>
                <w:rFonts w:ascii="Calibri" w:hAnsi="Calibri"/>
                <w:sz w:val="22"/>
              </w:rPr>
              <w:t>+3.0%</w:t>
            </w:r>
          </w:p>
        </w:tc>
        <w:tc>
          <w:tcPr>
            <w:tcW w:type="dxa" w:w="1728"/>
          </w:tcPr>
          <w:p>
            <w:r>
              <w:rPr>
                <w:rFonts w:ascii="Calibri" w:hAnsi="Calibri"/>
                <w:sz w:val="22"/>
              </w:rPr>
              <w:t>+2.5%</w:t>
            </w:r>
          </w:p>
        </w:tc>
        <w:tc>
          <w:tcPr>
            <w:tcW w:type="dxa" w:w="1728"/>
          </w:tcPr>
          <w:p>
            <w:r>
              <w:rPr>
                <w:rFonts w:ascii="Calibri" w:hAnsi="Calibri"/>
                <w:b/>
                <w:color w:val="30A46C"/>
                <w:sz w:val="22"/>
              </w:rPr>
              <w:t>+50 bps</w:t>
            </w:r>
          </w:p>
        </w:tc>
        <w:tc>
          <w:tcPr>
            <w:tcW w:type="dxa" w:w="1728"/>
          </w:tcPr>
          <w:p>
            <w:r>
              <w:rPr>
                <w:rFonts w:ascii="Calibri" w:hAnsi="Calibri"/>
                <w:sz w:val="22"/>
              </w:rPr>
              <w:t>Beat</w:t>
            </w:r>
          </w:p>
        </w:tc>
      </w:tr>
      <w:tr>
        <w:tc>
          <w:tcPr>
            <w:tcW w:type="dxa" w:w="1728"/>
          </w:tcPr>
          <w:p>
            <w:r>
              <w:rPr>
                <w:rFonts w:ascii="Calibri" w:hAnsi="Calibri"/>
                <w:sz w:val="22"/>
              </w:rPr>
              <w:t>FY25 Q1 (Sep 2024)</w:t>
            </w:r>
          </w:p>
        </w:tc>
        <w:tc>
          <w:tcPr>
            <w:tcW w:type="dxa" w:w="1728"/>
          </w:tcPr>
          <w:p>
            <w:r>
              <w:rPr>
                <w:rFonts w:ascii="Calibri" w:hAnsi="Calibri"/>
                <w:sz w:val="22"/>
              </w:rPr>
              <w:t>+2.0%</w:t>
            </w:r>
          </w:p>
        </w:tc>
        <w:tc>
          <w:tcPr>
            <w:tcW w:type="dxa" w:w="1728"/>
          </w:tcPr>
          <w:p>
            <w:r>
              <w:rPr>
                <w:rFonts w:ascii="Calibri" w:hAnsi="Calibri"/>
                <w:sz w:val="22"/>
              </w:rPr>
              <w:t>+2.1%</w:t>
            </w:r>
          </w:p>
        </w:tc>
        <w:tc>
          <w:tcPr>
            <w:tcW w:type="dxa" w:w="1728"/>
          </w:tcPr>
          <w:p>
            <w:r>
              <w:rPr>
                <w:rFonts w:ascii="Calibri" w:hAnsi="Calibri"/>
                <w:b/>
                <w:color w:val="E5484D"/>
                <w:sz w:val="22"/>
              </w:rPr>
              <w:t>-10 bps</w:t>
            </w:r>
          </w:p>
        </w:tc>
        <w:tc>
          <w:tcPr>
            <w:tcW w:type="dxa" w:w="1728"/>
          </w:tcPr>
          <w:p>
            <w:r>
              <w:rPr>
                <w:rFonts w:ascii="Calibri" w:hAnsi="Calibri"/>
                <w:sz w:val="22"/>
              </w:rPr>
              <w:t>In-line / slight miss</w:t>
            </w:r>
          </w:p>
        </w:tc>
      </w:tr>
      <w:tr>
        <w:tc>
          <w:tcPr>
            <w:tcW w:type="dxa" w:w="1728"/>
          </w:tcPr>
          <w:p>
            <w:r>
              <w:rPr>
                <w:rFonts w:ascii="Calibri" w:hAnsi="Calibri"/>
                <w:sz w:val="22"/>
              </w:rPr>
              <w:t>FY24 Q4 (Jun 2024)</w:t>
            </w:r>
          </w:p>
        </w:tc>
        <w:tc>
          <w:tcPr>
            <w:tcW w:type="dxa" w:w="1728"/>
          </w:tcPr>
          <w:p>
            <w:r>
              <w:rPr>
                <w:rFonts w:ascii="Calibri" w:hAnsi="Calibri"/>
                <w:sz w:val="22"/>
              </w:rPr>
              <w:t>+2.0%</w:t>
            </w:r>
          </w:p>
        </w:tc>
        <w:tc>
          <w:tcPr>
            <w:tcW w:type="dxa" w:w="1728"/>
          </w:tcPr>
          <w:p>
            <w:r>
              <w:rPr>
                <w:rFonts w:ascii="Calibri" w:hAnsi="Calibri"/>
                <w:sz w:val="22"/>
              </w:rPr>
              <w:t>+3.2%</w:t>
            </w:r>
          </w:p>
        </w:tc>
        <w:tc>
          <w:tcPr>
            <w:tcW w:type="dxa" w:w="1728"/>
          </w:tcPr>
          <w:p>
            <w:r>
              <w:rPr>
                <w:rFonts w:ascii="Calibri" w:hAnsi="Calibri"/>
                <w:b/>
                <w:color w:val="E5484D"/>
                <w:sz w:val="22"/>
              </w:rPr>
              <w:t>-120 bps</w:t>
            </w:r>
          </w:p>
        </w:tc>
        <w:tc>
          <w:tcPr>
            <w:tcW w:type="dxa" w:w="1728"/>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PG has beaten core EPS consensus in all 8 of the last 8 quarters, with surprises ranging from +0.4% to +5.1% — a remarkably consistent track record. Organic sales is more mixed (5 beats, 3 misses over 8 quarters), with the June quarter historically the weakest for organic sales beats. The EPS beat pattern is driven by productivity savings and below-the-line items; the organic sales line is the true test of underlying demand momentum. Source: Visible Alpha Consensus and Actuals Data.</w:t>
      </w:r>
    </w:p>
    <w:p>
      <w:r>
        <w:rPr>
          <w:rFonts w:ascii="Calibri" w:hAnsi="Calibri"/>
          <w:b/>
          <w:color w:val="525866"/>
          <w:sz w:val="22"/>
        </w:rPr>
        <w:t xml:space="preserve">Management tone evolution: </w:t>
      </w:r>
      <w:r>
        <w:rPr>
          <w:rFonts w:ascii="Calibri" w:hAnsi="Calibri"/>
          <w:color w:val="525866"/>
          <w:sz w:val="22"/>
        </w:rPr>
        <w:t>At the April 24 earnings call, CFO Schulten was confident on growth momentum but explicitly cautious on Q4 costs, stating "where we will land within those ranges has become more uncertain." At the June 3 Deutsche Bank conference, tone was incrementally more cautious on U.S. consumer trends ("softening") while maintaining high conviction on the innovation-led strategy. No formal guidance update has been issued since April 24. The July 14 dividend declaration ($1.0885/quarter, up 3%) signals continued capital return confidence.</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lower since the April 24 print, tracking directionally with management's cautious tone rather than diverging from it. The ~60 bps decline in Q4 organic sales consensus and ~$0.02 EPS decline since the post-print baseline suggest the market has largely absorbed the Middle East cost signal — </w:t>
      </w:r>
      <w:r>
        <w:rPr>
          <w:rFonts w:ascii="Calibri" w:hAnsi="Calibri"/>
          <w:b/>
          <w:color w:val="525866"/>
          <w:sz w:val="22"/>
        </w:rPr>
        <w:t>the risk is that the actual Q4 cost hit exceeds the ~$150M guided figure</w:t>
      </w:r>
      <w:r>
        <w:rPr>
          <w:rFonts w:ascii="Calibri" w:hAnsi="Calibri"/>
          <w:color w:val="525866"/>
          <w:sz w:val="22"/>
        </w:rPr>
        <w:t>, not that estimates are too high.</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Apr 24 Earnings (May 1,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24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Core EPS — Diluted Operating (FY26 Q4)</w:t>
            </w:r>
          </w:p>
        </w:tc>
        <w:tc>
          <w:tcPr>
            <w:tcW w:type="dxa" w:w="1080"/>
          </w:tcPr>
          <w:p>
            <w:r>
              <w:rPr>
                <w:rFonts w:ascii="Calibri" w:hAnsi="Calibri"/>
                <w:sz w:val="22"/>
              </w:rPr>
              <w:t>$1.418 ¹</w:t>
            </w:r>
          </w:p>
        </w:tc>
        <w:tc>
          <w:tcPr>
            <w:tcW w:type="dxa" w:w="1080"/>
          </w:tcPr>
          <w:p>
            <w:r>
              <w:rPr>
                <w:rFonts w:ascii="Calibri" w:hAnsi="Calibri"/>
                <w:sz w:val="22"/>
              </w:rPr>
              <w:t>$1.407 ¹</w:t>
            </w:r>
          </w:p>
        </w:tc>
        <w:tc>
          <w:tcPr>
            <w:tcW w:type="dxa" w:w="1080"/>
          </w:tcPr>
          <w:p>
            <w:r>
              <w:rPr>
                <w:rFonts w:ascii="Calibri" w:hAnsi="Calibri"/>
                <w:sz w:val="22"/>
              </w:rPr>
              <w:t>-0.8%</w:t>
            </w:r>
          </w:p>
        </w:tc>
        <w:tc>
          <w:tcPr>
            <w:tcW w:type="dxa" w:w="1080"/>
          </w:tcPr>
          <w:p>
            <w:r>
              <w:rPr>
                <w:rFonts w:ascii="Calibri" w:hAnsi="Calibri"/>
                <w:sz w:val="22"/>
              </w:rPr>
              <w:t>Lower end of $6.83–$7.09 FY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~$1.41 vs. implied ~$1.40 floor; at low end</w:t>
            </w:r>
          </w:p>
        </w:tc>
      </w:tr>
      <w:tr>
        <w:tc>
          <w:tcPr>
            <w:tcW w:type="dxa" w:w="1080"/>
          </w:tcPr>
          <w:p>
            <w:r>
              <w:rPr>
                <w:rFonts w:ascii="Calibri" w:hAnsi="Calibri"/>
                <w:sz w:val="22"/>
              </w:rPr>
              <w:t>Core EPS — Diluted Operating (FY26 Full Year)</w:t>
            </w:r>
          </w:p>
        </w:tc>
        <w:tc>
          <w:tcPr>
            <w:tcW w:type="dxa" w:w="1080"/>
          </w:tcPr>
          <w:p>
            <w:r>
              <w:rPr>
                <w:rFonts w:ascii="Calibri" w:hAnsi="Calibri"/>
                <w:sz w:val="22"/>
              </w:rPr>
              <w:t>$6.882 ¹</w:t>
            </w:r>
          </w:p>
        </w:tc>
        <w:tc>
          <w:tcPr>
            <w:tcW w:type="dxa" w:w="1080"/>
          </w:tcPr>
          <w:p>
            <w:r>
              <w:rPr>
                <w:rFonts w:ascii="Calibri" w:hAnsi="Calibri"/>
                <w:sz w:val="22"/>
              </w:rPr>
              <w:t>$6.871 ¹</w:t>
            </w:r>
          </w:p>
        </w:tc>
        <w:tc>
          <w:tcPr>
            <w:tcW w:type="dxa" w:w="1080"/>
          </w:tcPr>
          <w:p>
            <w:r>
              <w:rPr>
                <w:rFonts w:ascii="Calibri" w:hAnsi="Calibri"/>
                <w:sz w:val="22"/>
              </w:rPr>
              <w:t>-0.2%</w:t>
            </w:r>
          </w:p>
        </w:tc>
        <w:tc>
          <w:tcPr>
            <w:tcW w:type="dxa" w:w="1080"/>
          </w:tcPr>
          <w:p>
            <w:r>
              <w:rPr>
                <w:rFonts w:ascii="Calibri" w:hAnsi="Calibri"/>
                <w:sz w:val="22"/>
              </w:rPr>
              <w:t>$6.83–$7.09 (toward lower end)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$6.87 vs. $6.83 low end; +0.6% above floor</w:t>
            </w:r>
          </w:p>
        </w:tc>
      </w:tr>
      <w:tr>
        <w:tc>
          <w:tcPr>
            <w:tcW w:type="dxa" w:w="1080"/>
          </w:tcPr>
          <w:p>
            <w:r>
              <w:rPr>
                <w:rFonts w:ascii="Calibri" w:hAnsi="Calibri"/>
                <w:sz w:val="22"/>
              </w:rPr>
              <w:t>Organic Sales Growth (FY26 Q4)</w:t>
            </w:r>
          </w:p>
        </w:tc>
        <w:tc>
          <w:tcPr>
            <w:tcW w:type="dxa" w:w="1080"/>
          </w:tcPr>
          <w:p>
            <w:r>
              <w:rPr>
                <w:rFonts w:ascii="Calibri" w:hAnsi="Calibri"/>
                <w:sz w:val="22"/>
              </w:rPr>
              <w:t>+2.05% ²</w:t>
            </w:r>
          </w:p>
        </w:tc>
        <w:tc>
          <w:tcPr>
            <w:tcW w:type="dxa" w:w="1080"/>
          </w:tcPr>
          <w:p>
            <w:r>
              <w:rPr>
                <w:rFonts w:ascii="Calibri" w:hAnsi="Calibri"/>
                <w:sz w:val="22"/>
              </w:rPr>
              <w:t>+1.62% ²</w:t>
            </w:r>
          </w:p>
        </w:tc>
        <w:tc>
          <w:tcPr>
            <w:tcW w:type="dxa" w:w="1080"/>
          </w:tcPr>
          <w:p>
            <w:r>
              <w:rPr>
                <w:rFonts w:ascii="Calibri" w:hAnsi="Calibri"/>
                <w:sz w:val="22"/>
              </w:rPr>
              <w:t>-43 bps</w:t>
            </w:r>
          </w:p>
        </w:tc>
        <w:tc>
          <w:tcPr>
            <w:tcW w:type="dxa" w:w="1080"/>
          </w:tcPr>
          <w:p>
            <w:r>
              <w:rPr>
                <w:rFonts w:ascii="Calibri" w:hAnsi="Calibri"/>
                <w:sz w:val="22"/>
              </w:rPr>
              <w:t>"Somewhat lower than Q3" (~+2–3%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+1.6% vs. implied ~+2% floor; slightly below</w:t>
            </w:r>
          </w:p>
        </w:tc>
      </w:tr>
      <w:tr>
        <w:tc>
          <w:tcPr>
            <w:tcW w:type="dxa" w:w="1080"/>
          </w:tcPr>
          <w:p>
            <w:r>
              <w:rPr>
                <w:rFonts w:ascii="Calibri" w:hAnsi="Calibri"/>
                <w:sz w:val="22"/>
              </w:rPr>
              <w:t>Organic Sales Growth (FY26 Full Year)</w:t>
            </w:r>
          </w:p>
        </w:tc>
        <w:tc>
          <w:tcPr>
            <w:tcW w:type="dxa" w:w="1080"/>
          </w:tcPr>
          <w:p>
            <w:r>
              <w:rPr>
                <w:rFonts w:ascii="Calibri" w:hAnsi="Calibri"/>
                <w:sz w:val="22"/>
              </w:rPr>
              <w:t>+1.67% ²</w:t>
            </w:r>
          </w:p>
        </w:tc>
        <w:tc>
          <w:tcPr>
            <w:tcW w:type="dxa" w:w="1080"/>
          </w:tcPr>
          <w:p>
            <w:r>
              <w:rPr>
                <w:rFonts w:ascii="Calibri" w:hAnsi="Calibri"/>
                <w:sz w:val="22"/>
              </w:rPr>
              <w:t>+1.55% ²</w:t>
            </w:r>
          </w:p>
        </w:tc>
        <w:tc>
          <w:tcPr>
            <w:tcW w:type="dxa" w:w="1080"/>
          </w:tcPr>
          <w:p>
            <w:r>
              <w:rPr>
                <w:rFonts w:ascii="Calibri" w:hAnsi="Calibri"/>
                <w:sz w:val="22"/>
              </w:rPr>
              <w:t>-12 bps</w:t>
            </w:r>
          </w:p>
        </w:tc>
        <w:tc>
          <w:tcPr>
            <w:tcW w:type="dxa" w:w="1080"/>
          </w:tcPr>
          <w:p>
            <w:r>
              <w:rPr>
                <w:rFonts w:ascii="Calibri" w:hAnsi="Calibri"/>
                <w:sz w:val="22"/>
              </w:rPr>
              <w:t>0% to +4%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+1.6% vs. 0–4% range; low end</w:t>
            </w:r>
          </w:p>
        </w:tc>
      </w:tr>
      <w:tr>
        <w:tc>
          <w:tcPr>
            <w:tcW w:type="dxa" w:w="1080"/>
          </w:tcPr>
          <w:p>
            <w:r>
              <w:rPr>
                <w:rFonts w:ascii="Calibri" w:hAnsi="Calibri"/>
                <w:sz w:val="22"/>
              </w:rPr>
              <w:t>Core EPS — Diluted Operating (FY27 Full Year)</w:t>
            </w:r>
          </w:p>
        </w:tc>
        <w:tc>
          <w:tcPr>
            <w:tcW w:type="dxa" w:w="1080"/>
          </w:tcPr>
          <w:p>
            <w:r>
              <w:rPr>
                <w:rFonts w:ascii="Calibri" w:hAnsi="Calibri"/>
                <w:sz w:val="22"/>
              </w:rPr>
              <w:t>$7.051 ¹</w:t>
            </w:r>
          </w:p>
        </w:tc>
        <w:tc>
          <w:tcPr>
            <w:tcW w:type="dxa" w:w="1080"/>
          </w:tcPr>
          <w:p>
            <w:r>
              <w:rPr>
                <w:rFonts w:ascii="Calibri" w:hAnsi="Calibri"/>
                <w:sz w:val="22"/>
              </w:rPr>
              <w:t>$7.001 ¹</w:t>
            </w:r>
          </w:p>
        </w:tc>
        <w:tc>
          <w:tcPr>
            <w:tcW w:type="dxa" w:w="1080"/>
          </w:tcPr>
          <w:p>
            <w:r>
              <w:rPr>
                <w:rFonts w:ascii="Calibri" w:hAnsi="Calibri"/>
                <w:sz w:val="22"/>
              </w:rPr>
              <w:t>-0.7%</w:t>
            </w:r>
          </w:p>
        </w:tc>
        <w:tc>
          <w:tcPr>
            <w:tcW w:type="dxa" w:w="1080"/>
          </w:tcPr>
          <w:p>
            <w:r>
              <w:rPr>
                <w:rFonts w:ascii="Calibri" w:hAnsi="Calibri"/>
                <w:sz w:val="22"/>
              </w:rPr>
              <w:t>No FY27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 — Investor Day Nov 2026 expected</w:t>
            </w:r>
          </w:p>
        </w:tc>
      </w:tr>
      <w:tr>
        <w:tc>
          <w:tcPr>
            <w:tcW w:type="dxa" w:w="1080"/>
          </w:tcPr>
          <w:p>
            <w:r>
              <w:rPr>
                <w:rFonts w:ascii="Calibri" w:hAnsi="Calibri"/>
                <w:sz w:val="22"/>
              </w:rPr>
              <w:t>Organic Sales Growth (FY27 Full Year)</w:t>
            </w:r>
          </w:p>
        </w:tc>
        <w:tc>
          <w:tcPr>
            <w:tcW w:type="dxa" w:w="1080"/>
          </w:tcPr>
          <w:p>
            <w:r>
              <w:rPr>
                <w:rFonts w:ascii="Calibri" w:hAnsi="Calibri"/>
                <w:sz w:val="22"/>
              </w:rPr>
              <w:t>+2.49% ²</w:t>
            </w:r>
          </w:p>
        </w:tc>
        <w:tc>
          <w:tcPr>
            <w:tcW w:type="dxa" w:w="1080"/>
          </w:tcPr>
          <w:p>
            <w:r>
              <w:rPr>
                <w:rFonts w:ascii="Calibri" w:hAnsi="Calibri"/>
                <w:sz w:val="22"/>
              </w:rPr>
              <w:t>+2.46% ²</w:t>
            </w:r>
          </w:p>
        </w:tc>
        <w:tc>
          <w:tcPr>
            <w:tcW w:type="dxa" w:w="1080"/>
          </w:tcPr>
          <w:p>
            <w:r>
              <w:rPr>
                <w:rFonts w:ascii="Calibri" w:hAnsi="Calibri"/>
                <w:sz w:val="22"/>
              </w:rPr>
              <w:t>-3 bps</w:t>
            </w:r>
          </w:p>
        </w:tc>
        <w:tc>
          <w:tcPr>
            <w:tcW w:type="dxa" w:w="1080"/>
          </w:tcPr>
          <w:p>
            <w:r>
              <w:rPr>
                <w:rFonts w:ascii="Calibri" w:hAnsi="Calibri"/>
                <w:sz w:val="22"/>
              </w:rPr>
              <w:t>No FY27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¹ Visible Alpha Consensus and Actuals Data (EPS — Diluted — Operating) | ² Visible Alpha Consensus and Actuals Data (Organic — Consolidated %)</w:t>
      </w:r>
      <w:r>
        <w:rPr>
          <w:rFonts w:ascii="Calibri" w:hAnsi="Calibri"/>
          <w:color w:val="525866"/>
          <w:sz w:val="22"/>
        </w:rPr>
        <w:t>. Estimate baseline = consensus as of May 1, 2026 (~5 trading days post April 24 earnings). Current = July 28, 2026. The modest downward drift in both EPS and organic sales estimates is consistent with management's cautious tone and does not represent a divergence that would signal a large miss. The FY27 EPS estimate of ~$7.00 implies only ~+2% growth vs. FY26, reflecting uncertainty around the sustained Middle East cost headwind; management has flagged this as a key variable for the November 2026 Investor Day.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stock's ~6% decline over the past 12 months is almost entirely </w:t>
      </w:r>
      <w:r>
        <w:rPr>
          <w:rFonts w:ascii="Calibri" w:hAnsi="Calibri"/>
          <w:b/>
          <w:color w:val="525866"/>
          <w:sz w:val="22"/>
        </w:rPr>
        <w:t>multiple-driven</w:t>
      </w:r>
      <w:r>
        <w:rPr>
          <w:rFonts w:ascii="Calibri" w:hAnsi="Calibri"/>
          <w:color w:val="525866"/>
          <w:sz w:val="22"/>
        </w:rPr>
        <w:t xml:space="preserve"> (NTM P/E contracted from ~22.7x to ~21.2x, EV/EBITDA from ~16.4x to ~15.4x), not earnings-driven — suggesting sentiment and risk-off rotation out of defensive staples, not fundamental deterioration, drove the underperformance. Over 1–3 months the stock is essentially flat, indicating the market has stabilized around current expectations.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PG Price Return</w:t>
            </w:r>
          </w:p>
        </w:tc>
        <w:tc>
          <w:tcPr>
            <w:tcW w:type="dxa" w:w="1440"/>
            <w:shd w:val="clear" w:color="auto" w:fill="3B4259"/>
          </w:tcPr>
          <w:p>
            <w:r>
              <w:rPr>
                <w:rFonts w:ascii="Calibri" w:hAnsi="Calibri"/>
                <w:b/>
                <w:color w:val="FFFFFF"/>
                <w:sz w:val="22"/>
              </w:rPr>
              <w:t>NTM EV/EBITDA (Then)</w:t>
            </w:r>
          </w:p>
        </w:tc>
        <w:tc>
          <w:tcPr>
            <w:tcW w:type="dxa" w:w="1440"/>
            <w:shd w:val="clear" w:color="auto" w:fill="3B4259"/>
          </w:tcPr>
          <w:p>
            <w:r>
              <w:rPr>
                <w:rFonts w:ascii="Calibri" w:hAnsi="Calibri"/>
                <w:b/>
                <w:color w:val="FFFFFF"/>
                <w:sz w:val="22"/>
              </w:rPr>
              <w:t>NTM EV/EBITDA (Now)</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-0.1%</w:t>
            </w:r>
          </w:p>
        </w:tc>
        <w:tc>
          <w:tcPr>
            <w:tcW w:type="dxa" w:w="1440"/>
          </w:tcPr>
          <w:p>
            <w:r>
              <w:rPr>
                <w:rFonts w:ascii="Calibri" w:hAnsi="Calibri"/>
                <w:sz w:val="22"/>
              </w:rPr>
              <w:t>15.32x</w:t>
            </w:r>
          </w:p>
        </w:tc>
        <w:tc>
          <w:tcPr>
            <w:tcW w:type="dxa" w:w="1440"/>
          </w:tcPr>
          <w:p>
            <w:r>
              <w:rPr>
                <w:rFonts w:ascii="Calibri" w:hAnsi="Calibri"/>
                <w:sz w:val="22"/>
              </w:rPr>
              <w:t>15.38x</w:t>
            </w:r>
          </w:p>
        </w:tc>
        <w:tc>
          <w:tcPr>
            <w:tcW w:type="dxa" w:w="1440"/>
          </w:tcPr>
          <w:p>
            <w:r>
              <w:rPr>
                <w:rFonts w:ascii="Calibri" w:hAnsi="Calibri"/>
                <w:sz w:val="22"/>
              </w:rPr>
              <w:t>+0.4%</w:t>
            </w:r>
          </w:p>
        </w:tc>
        <w:tc>
          <w:tcPr>
            <w:tcW w:type="dxa" w:w="1440"/>
          </w:tcPr>
          <w:p>
            <w:r>
              <w:rPr>
                <w:rFonts w:ascii="Calibri" w:hAnsi="Calibri"/>
                <w:sz w:val="22"/>
              </w:rPr>
              <w:t>Flat; slight multiple expansion</w:t>
            </w:r>
          </w:p>
        </w:tc>
      </w:tr>
      <w:tr>
        <w:tc>
          <w:tcPr>
            <w:tcW w:type="dxa" w:w="1440"/>
          </w:tcPr>
          <w:p>
            <w:r>
              <w:rPr>
                <w:rFonts w:ascii="Calibri" w:hAnsi="Calibri"/>
                <w:sz w:val="22"/>
              </w:rPr>
              <w:t>3 Months</w:t>
            </w:r>
          </w:p>
        </w:tc>
        <w:tc>
          <w:tcPr>
            <w:tcW w:type="dxa" w:w="1440"/>
          </w:tcPr>
          <w:p>
            <w:r>
              <w:rPr>
                <w:rFonts w:ascii="Calibri" w:hAnsi="Calibri"/>
                <w:sz w:val="22"/>
              </w:rPr>
              <w:t>+0.3%</w:t>
            </w:r>
          </w:p>
        </w:tc>
        <w:tc>
          <w:tcPr>
            <w:tcW w:type="dxa" w:w="1440"/>
          </w:tcPr>
          <w:p>
            <w:r>
              <w:rPr>
                <w:rFonts w:ascii="Calibri" w:hAnsi="Calibri"/>
                <w:sz w:val="22"/>
              </w:rPr>
              <w:t>15.36x</w:t>
            </w:r>
          </w:p>
        </w:tc>
        <w:tc>
          <w:tcPr>
            <w:tcW w:type="dxa" w:w="1440"/>
          </w:tcPr>
          <w:p>
            <w:r>
              <w:rPr>
                <w:rFonts w:ascii="Calibri" w:hAnsi="Calibri"/>
                <w:sz w:val="22"/>
              </w:rPr>
              <w:t>15.38x</w:t>
            </w:r>
          </w:p>
        </w:tc>
        <w:tc>
          <w:tcPr>
            <w:tcW w:type="dxa" w:w="1440"/>
          </w:tcPr>
          <w:p>
            <w:r>
              <w:rPr>
                <w:rFonts w:ascii="Calibri" w:hAnsi="Calibri"/>
                <w:sz w:val="22"/>
              </w:rPr>
              <w:t>+0.2%</w:t>
            </w:r>
          </w:p>
        </w:tc>
        <w:tc>
          <w:tcPr>
            <w:tcW w:type="dxa" w:w="1440"/>
          </w:tcPr>
          <w:p>
            <w:r>
              <w:rPr>
                <w:rFonts w:ascii="Calibri" w:hAnsi="Calibri"/>
                <w:sz w:val="22"/>
              </w:rPr>
              <w:t>Flat; stable multiple</w:t>
            </w:r>
          </w:p>
        </w:tc>
      </w:tr>
      <w:tr>
        <w:tc>
          <w:tcPr>
            <w:tcW w:type="dxa" w:w="1440"/>
          </w:tcPr>
          <w:p>
            <w:r>
              <w:rPr>
                <w:rFonts w:ascii="Calibri" w:hAnsi="Calibri"/>
                <w:sz w:val="22"/>
              </w:rPr>
              <w:t>6 Months</w:t>
            </w:r>
          </w:p>
        </w:tc>
        <w:tc>
          <w:tcPr>
            <w:tcW w:type="dxa" w:w="1440"/>
          </w:tcPr>
          <w:p>
            <w:r>
              <w:rPr>
                <w:rFonts w:ascii="Calibri" w:hAnsi="Calibri"/>
                <w:sz w:val="22"/>
              </w:rPr>
              <w:t>-0.4%</w:t>
            </w:r>
          </w:p>
        </w:tc>
        <w:tc>
          <w:tcPr>
            <w:tcW w:type="dxa" w:w="1440"/>
          </w:tcPr>
          <w:p>
            <w:r>
              <w:rPr>
                <w:rFonts w:ascii="Calibri" w:hAnsi="Calibri"/>
                <w:sz w:val="22"/>
              </w:rPr>
              <w:t>15.25x</w:t>
            </w:r>
          </w:p>
        </w:tc>
        <w:tc>
          <w:tcPr>
            <w:tcW w:type="dxa" w:w="1440"/>
          </w:tcPr>
          <w:p>
            <w:r>
              <w:rPr>
                <w:rFonts w:ascii="Calibri" w:hAnsi="Calibri"/>
                <w:sz w:val="22"/>
              </w:rPr>
              <w:t>15.38x</w:t>
            </w:r>
          </w:p>
        </w:tc>
        <w:tc>
          <w:tcPr>
            <w:tcW w:type="dxa" w:w="1440"/>
          </w:tcPr>
          <w:p>
            <w:r>
              <w:rPr>
                <w:rFonts w:ascii="Calibri" w:hAnsi="Calibri"/>
                <w:sz w:val="22"/>
              </w:rPr>
              <w:t>+0.9%</w:t>
            </w:r>
          </w:p>
        </w:tc>
        <w:tc>
          <w:tcPr>
            <w:tcW w:type="dxa" w:w="1440"/>
          </w:tcPr>
          <w:p>
            <w:r>
              <w:rPr>
                <w:rFonts w:ascii="Calibri" w:hAnsi="Calibri"/>
                <w:sz w:val="22"/>
              </w:rPr>
              <w:t>Slight multiple expansion; price flat</w:t>
            </w:r>
          </w:p>
        </w:tc>
      </w:tr>
      <w:tr>
        <w:tc>
          <w:tcPr>
            <w:tcW w:type="dxa" w:w="1440"/>
          </w:tcPr>
          <w:p>
            <w:r>
              <w:rPr>
                <w:rFonts w:ascii="Calibri" w:hAnsi="Calibri"/>
                <w:sz w:val="22"/>
              </w:rPr>
              <w:t>12 Months</w:t>
            </w:r>
          </w:p>
        </w:tc>
        <w:tc>
          <w:tcPr>
            <w:tcW w:type="dxa" w:w="1440"/>
          </w:tcPr>
          <w:p>
            <w:r>
              <w:rPr>
                <w:rFonts w:ascii="Calibri" w:hAnsi="Calibri"/>
                <w:sz w:val="22"/>
              </w:rPr>
              <w:t>-5.9%</w:t>
            </w:r>
          </w:p>
        </w:tc>
        <w:tc>
          <w:tcPr>
            <w:tcW w:type="dxa" w:w="1440"/>
          </w:tcPr>
          <w:p>
            <w:r>
              <w:rPr>
                <w:rFonts w:ascii="Calibri" w:hAnsi="Calibri"/>
                <w:sz w:val="22"/>
              </w:rPr>
              <w:t>16.35x</w:t>
            </w:r>
          </w:p>
        </w:tc>
        <w:tc>
          <w:tcPr>
            <w:tcW w:type="dxa" w:w="1440"/>
          </w:tcPr>
          <w:p>
            <w:r>
              <w:rPr>
                <w:rFonts w:ascii="Calibri" w:hAnsi="Calibri"/>
                <w:sz w:val="22"/>
              </w:rPr>
              <w:t>15.38x</w:t>
            </w:r>
          </w:p>
        </w:tc>
        <w:tc>
          <w:tcPr>
            <w:tcW w:type="dxa" w:w="1440"/>
          </w:tcPr>
          <w:p>
            <w:r>
              <w:rPr>
                <w:rFonts w:ascii="Calibri" w:hAnsi="Calibri"/>
                <w:sz w:val="22"/>
              </w:rPr>
              <w:t>-6.0%</w:t>
            </w:r>
          </w:p>
        </w:tc>
        <w:tc>
          <w:tcPr>
            <w:tcW w:type="dxa" w:w="1440"/>
          </w:tcPr>
          <w:p>
            <w:r>
              <w:rPr>
                <w:rFonts w:ascii="Calibri" w:hAnsi="Calibri"/>
                <w:sz w:val="22"/>
              </w:rPr>
              <w:t>Multiple contraction drove all of the decline</w:t>
            </w:r>
          </w:p>
        </w:tc>
      </w:tr>
    </w:tbl>
    <w:p>
      <w:r>
        <w:rPr>
          <w:rFonts w:ascii="Calibri" w:hAnsi="Calibri"/>
          <w:i/>
          <w:color w:val="525866"/>
          <w:sz w:val="22"/>
        </w:rPr>
        <w:t xml:space="preserve">Source: Stock Performance Decomposition data. Current NTM multiples (Jul 28, 2026): EV/EBITDA 15.38x | P/E 21.22x | EV/Sales 4.16x | P/FCF 21.71x. </w:t>
      </w:r>
      <w:r>
        <w:rPr>
          <w:rFonts w:ascii="Calibri" w:hAnsi="Calibri"/>
          <w:b/>
          <w:i/>
          <w:color w:val="525866"/>
          <w:sz w:val="22"/>
        </w:rPr>
        <w:t xml:space="preserve">Note: </w:t>
      </w:r>
      <w:r>
        <w:rPr>
          <w:rFonts w:ascii="Calibri" w:hAnsi="Calibri"/>
          <w:i/>
          <w:color w:val="525866"/>
          <w:sz w:val="22"/>
        </w:rPr>
        <w:t>The 12-month multiple contraction of ~6% mirrors the price decline almost exactly, confirming that earnings estimates were broadly stable while the market re-rated the stock lower — likely reflecting the shift from a defensive premium environment to one where investors rotated toward higher-growth assets. At 21.2x NTM P/E, PG trades below its 12-month-ago level of 22.7x, offering modest valuation support heading into the print.</w:t>
      </w:r>
    </w:p>
    <w:p>
      <w:r>
        <w:rPr>
          <w:rFonts w:ascii="Calibri" w:hAnsi="Calibri"/>
          <w:b/>
          <w:color w:val="525866"/>
          <w:sz w:val="22"/>
        </w:rPr>
        <w:t>Key Events Since Last Earnings (Apr 24, 2026):</w:t>
      </w:r>
    </w:p>
    <w:p>
      <w:pPr>
        <w:pStyle w:val="ListBullet"/>
        <w:ind w:left="360" w:hanging="360"/>
      </w:pPr>
      <w:r>
        <w:rPr>
          <w:rFonts w:ascii="Calibri" w:hAnsi="Calibri"/>
          <w:b/>
          <w:color w:val="525866"/>
          <w:sz w:val="22"/>
        </w:rPr>
        <w:t>Apr 24, 2026:</w:t>
      </w:r>
      <w:r>
        <w:rPr>
          <w:rFonts w:ascii="Calibri" w:hAnsi="Calibri"/>
          <w:color w:val="525866"/>
          <w:sz w:val="22"/>
        </w:rPr>
        <w:t xml:space="preserve"> Q3 FY26 earnings — EPS beat, revenue miss; stock rose pre-market then sold off on guidance toward lower end of range and Middle East cost headwind disclosure.</w:t>
      </w:r>
    </w:p>
    <w:p>
      <w:pPr>
        <w:pStyle w:val="ListBullet"/>
        <w:ind w:left="360" w:hanging="360"/>
      </w:pPr>
      <w:r>
        <w:rPr>
          <w:rFonts w:ascii="Calibri" w:hAnsi="Calibri"/>
          <w:b/>
          <w:color w:val="525866"/>
          <w:sz w:val="22"/>
        </w:rPr>
        <w:t>Jun 3, 2026:</w:t>
      </w:r>
      <w:r>
        <w:rPr>
          <w:rFonts w:ascii="Calibri" w:hAnsi="Calibri"/>
          <w:color w:val="525866"/>
          <w:sz w:val="22"/>
        </w:rPr>
        <w:t xml:space="preserve"> Deutsche Bank Global Consumer Conference — CFO Schulten reiterated guidance, flagged softening U.S. consumer trends and incremental Middle East cost impacts.</w:t>
      </w:r>
    </w:p>
    <w:p>
      <w:pPr>
        <w:pStyle w:val="ListBullet"/>
        <w:ind w:left="360" w:hanging="360"/>
      </w:pPr>
      <w:r>
        <w:rPr>
          <w:rFonts w:ascii="Calibri" w:hAnsi="Calibri"/>
          <w:b/>
          <w:color w:val="525866"/>
          <w:sz w:val="22"/>
        </w:rPr>
        <w:t>Jun 10, 2026:</w:t>
      </w:r>
      <w:r>
        <w:rPr>
          <w:rFonts w:ascii="Calibri" w:hAnsi="Calibri"/>
          <w:color w:val="525866"/>
          <w:sz w:val="22"/>
        </w:rPr>
        <w:t xml:space="preserve"> Evercore Consumer &amp; Retail Conference — CIO Seth Cohen presented AI/digital strategy; no financial guidance updates.</w:t>
      </w:r>
    </w:p>
    <w:p>
      <w:pPr>
        <w:pStyle w:val="ListBullet"/>
        <w:ind w:left="360" w:hanging="360"/>
      </w:pPr>
      <w:r>
        <w:rPr>
          <w:rFonts w:ascii="Calibri" w:hAnsi="Calibri"/>
          <w:b/>
          <w:color w:val="525866"/>
          <w:sz w:val="22"/>
        </w:rPr>
        <w:t>Jul 14, 2026:</w:t>
      </w:r>
      <w:r>
        <w:rPr>
          <w:rFonts w:ascii="Calibri" w:hAnsi="Calibri"/>
          <w:color w:val="525866"/>
          <w:sz w:val="22"/>
        </w:rPr>
        <w:t xml:space="preserve"> Board approved $1.0885/quarter dividend (70th consecutive annual increase); no operational update.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April 24 earnings call is the </w:t>
      </w:r>
      <w:r>
        <w:rPr>
          <w:rFonts w:ascii="Calibri" w:hAnsi="Calibri"/>
          <w:b/>
          <w:color w:val="525866"/>
          <w:sz w:val="22"/>
        </w:rPr>
        <w:t>Middle East conflict's escalating cost impact</w:t>
      </w:r>
      <w:r>
        <w:rPr>
          <w:rFonts w:ascii="Calibri" w:hAnsi="Calibri"/>
          <w:color w:val="525866"/>
          <w:sz w:val="22"/>
        </w:rPr>
        <w:t xml:space="preserve"> — management guided to ~$150M after-tax for FY26 (almost all in Q4) but flagged that sustained $100/bbl Brent could create a ~$1.3B pre-tax annualized headwind, making the Q4 cost print the single most important number in tomorrow's release.</w:t>
      </w:r>
    </w:p>
    <w:p>
      <w:pPr>
        <w:pStyle w:val="ListBullet"/>
        <w:ind w:left="360" w:hanging="360"/>
      </w:pPr>
      <w:r>
        <w:rPr>
          <w:rFonts w:ascii="Calibri" w:hAnsi="Calibri"/>
          <w:b/>
          <w:color w:val="525866"/>
          <w:sz w:val="22"/>
        </w:rPr>
        <w:t>Jul 14, 2026 — P&amp;G Board Declares $1.0885/Quarter Dividend:</w:t>
      </w:r>
      <w:r>
        <w:rPr>
          <w:rFonts w:ascii="Calibri" w:hAnsi="Calibri"/>
          <w:color w:val="525866"/>
          <w:sz w:val="22"/>
        </w:rPr>
        <w:t xml:space="preserve"> Board approved the quarterly dividend, representing the 70th consecutive annual dividend increase and the 136th consecutive year of dividend payments. </w:t>
      </w:r>
      <w:r>
        <w:rPr>
          <w:rFonts w:ascii="Calibri" w:hAnsi="Calibri"/>
          <w:b/>
          <w:color w:val="525866"/>
          <w:sz w:val="22"/>
        </w:rPr>
        <w:t>Implication:</w:t>
      </w:r>
      <w:r>
        <w:rPr>
          <w:rFonts w:ascii="Calibri" w:hAnsi="Calibri"/>
          <w:color w:val="525866"/>
          <w:sz w:val="22"/>
        </w:rPr>
        <w:t xml:space="preserve"> Signals management confidence in cash generation despite near-term cost headwinds; no operational surprise.</w:t>
      </w:r>
    </w:p>
    <w:p>
      <w:pPr>
        <w:pStyle w:val="ListBullet"/>
        <w:ind w:left="360" w:hanging="360"/>
      </w:pPr>
      <w:r>
        <w:rPr>
          <w:rFonts w:ascii="Calibri" w:hAnsi="Calibri"/>
          <w:b/>
          <w:color w:val="525866"/>
          <w:sz w:val="22"/>
        </w:rPr>
        <w:t>Jun 10, 2026 — Evercore Consumer &amp; Retail Conference (CIO Seth Cohen):</w:t>
      </w:r>
      <w:r>
        <w:rPr>
          <w:rFonts w:ascii="Calibri" w:hAnsi="Calibri"/>
          <w:color w:val="525866"/>
          <w:sz w:val="22"/>
        </w:rPr>
        <w:t xml:space="preserve"> P&amp;G's CIO presented the company's AI and digital transformation strategy, highlighting four technology toolboxes (data/AI analytics, brand building, innovation, Supply Chain 3.0/automation) being scaled across the organization. Molecular Discovery Suite has compressed innovation timelines from 5+ years to under 6 months in some cases. </w:t>
      </w:r>
      <w:r>
        <w:rPr>
          <w:rFonts w:ascii="Calibri" w:hAnsi="Calibri"/>
          <w:b/>
          <w:color w:val="525866"/>
          <w:sz w:val="22"/>
        </w:rPr>
        <w:t>Implication:</w:t>
      </w:r>
      <w:r>
        <w:rPr>
          <w:rFonts w:ascii="Calibri" w:hAnsi="Calibri"/>
          <w:color w:val="525866"/>
          <w:sz w:val="22"/>
        </w:rPr>
        <w:t xml:space="preserve"> Reinforces the productivity and innovation narrative but provides no near-term financial guidance; no Q4 update.</w:t>
      </w:r>
    </w:p>
    <w:p>
      <w:pPr>
        <w:pStyle w:val="ListBullet"/>
        <w:ind w:left="360" w:hanging="360"/>
      </w:pPr>
      <w:r>
        <w:rPr>
          <w:rFonts w:ascii="Calibri" w:hAnsi="Calibri"/>
          <w:b/>
          <w:color w:val="525866"/>
          <w:sz w:val="22"/>
        </w:rPr>
        <w:t>Jun 3, 2026 — Deutsche Bank Global Consumer Conference (CFO Andre Schulten):</w:t>
      </w:r>
      <w:r>
        <w:rPr>
          <w:rFonts w:ascii="Calibri" w:hAnsi="Calibri"/>
          <w:color w:val="525866"/>
          <w:sz w:val="22"/>
        </w:rPr>
        <w:t xml:space="preserve"> CFO reiterated maintained FY26 guidance ranges but flagged softening U.S. consumer trends and incremental Middle East cost impacts. Confirmed ~$150M after-tax FY26 headwind with "almost all" in Q4. Noted U.S. consumer consuming at 2–3% on a rolling 12-week basis but with volatility from event timing and wallet shocks (e.g., $6 gas prices). Expressed "enormous amount of impatience" and energy within the company under new leadership. </w:t>
      </w:r>
      <w:r>
        <w:rPr>
          <w:rFonts w:ascii="Calibri" w:hAnsi="Calibri"/>
          <w:b/>
          <w:color w:val="525866"/>
          <w:sz w:val="22"/>
        </w:rPr>
        <w:t>Implication:</w:t>
      </w:r>
      <w:r>
        <w:rPr>
          <w:rFonts w:ascii="Calibri" w:hAnsi="Calibri"/>
          <w:color w:val="525866"/>
          <w:sz w:val="22"/>
        </w:rPr>
        <w:t xml:space="preserve"> Most important post-earnings management update; confirms the Q4 cost headwind is real and concentrated, and that U.S. consumer trends are a watch item.</w:t>
      </w:r>
    </w:p>
    <w:p>
      <w:pPr>
        <w:pStyle w:val="ListBullet"/>
        <w:ind w:left="360" w:hanging="360"/>
      </w:pPr>
      <w:r>
        <w:rPr>
          <w:rFonts w:ascii="Calibri" w:hAnsi="Calibri"/>
          <w:b/>
          <w:color w:val="525866"/>
          <w:sz w:val="22"/>
        </w:rPr>
        <w:t>Apr 24, 2026 — Q3 FY26 Earnings (Last Earnings Call):</w:t>
      </w:r>
      <w:r>
        <w:rPr>
          <w:rFonts w:ascii="Calibri" w:hAnsi="Calibri"/>
          <w:color w:val="525866"/>
          <w:sz w:val="22"/>
        </w:rPr>
        <w:t xml:space="preserve"> Organic sales +3% (beat), core EPS $1.59 (beat), but revenue missed. Guidance maintained at 0–4% organic / $6.83–$7.09 EPS but shifted toward lower end. Easter pull-forward flagged as ~1 pt Q4 headwind. Middle East cost headwind of ~$150M after-tax introduced. </w:t>
      </w:r>
      <w:r>
        <w:rPr>
          <w:rFonts w:ascii="Calibri" w:hAnsi="Calibri"/>
          <w:b/>
          <w:color w:val="525866"/>
          <w:sz w:val="22"/>
        </w:rPr>
        <w:t>Implication:</w:t>
      </w:r>
      <w:r>
        <w:rPr>
          <w:rFonts w:ascii="Calibri" w:hAnsi="Calibri"/>
          <w:color w:val="525866"/>
          <w:sz w:val="22"/>
        </w:rPr>
        <w:t xml:space="preserve"> Baseline for all current-quarter expectations.</w:t>
      </w:r>
    </w:p>
    <w:p>
      <w:pPr>
        <w:pStyle w:val="ListBullet"/>
        <w:ind w:left="360" w:hanging="360"/>
      </w:pPr>
      <w:r>
        <w:rPr>
          <w:rFonts w:ascii="Calibri" w:hAnsi="Calibri"/>
          <w:b/>
          <w:color w:val="525866"/>
          <w:sz w:val="22"/>
        </w:rPr>
        <w:t>Ongoing — Middle East Conflict &amp; Commodity Cost Pressure:</w:t>
      </w:r>
      <w:r>
        <w:rPr>
          <w:rFonts w:ascii="Calibri" w:hAnsi="Calibri"/>
          <w:color w:val="525866"/>
          <w:sz w:val="22"/>
        </w:rPr>
        <w:t xml:space="preserve"> Strait of Hormuz disruption continues to affect commodity feedstocks (surfactants, polyethylene, polypropylene, perfumes), logistics costs, and reformulation requirements. Coca-Cola (Jul 24) raised Diet Coke prices in India 13.6% per-ml due to aluminum can supply disruption from the same conflict. Unilever (Jul 28) reported ~€850M full-year commodity inflation with 70% in home care and emerging markets. </w:t>
      </w:r>
      <w:r>
        <w:rPr>
          <w:rFonts w:ascii="Calibri" w:hAnsi="Calibri"/>
          <w:b/>
          <w:color w:val="525866"/>
          <w:sz w:val="22"/>
        </w:rPr>
        <w:t>Implication:</w:t>
      </w:r>
      <w:r>
        <w:rPr>
          <w:rFonts w:ascii="Calibri" w:hAnsi="Calibri"/>
          <w:color w:val="525866"/>
          <w:sz w:val="22"/>
        </w:rPr>
        <w:t xml:space="preserve"> Broad-based peer confirmation that Middle East cost pressures are real and material; P&amp;G's supply chain resilience (no stockouts reported) is a relative positive but does not eliminate the cost headwind.</w:t>
      </w:r>
    </w:p>
    <w:p>
      <w:pPr>
        <w:pStyle w:val="ListBullet"/>
        <w:ind w:left="360" w:hanging="360"/>
      </w:pPr>
      <w:r>
        <w:rPr>
          <w:rFonts w:ascii="Calibri" w:hAnsi="Calibri"/>
          <w:b/>
          <w:color w:val="525866"/>
          <w:sz w:val="22"/>
        </w:rPr>
        <w:t>Ongoing — U.S. Consumer Softness:</w:t>
      </w:r>
      <w:r>
        <w:rPr>
          <w:rFonts w:ascii="Calibri" w:hAnsi="Calibri"/>
          <w:color w:val="525866"/>
          <w:sz w:val="22"/>
        </w:rPr>
        <w:t xml:space="preserve"> Colgate (Jun 3) flagged "marked slowing" in North America categories in early May. PepsiCo (Jul 9) reported North America food revenue -2% with volume flat. Mondelez (Jul 28) noted consumer confidence "very subdued" despite rebounding from lows, with consumers concerned about affordability and job security. </w:t>
      </w:r>
      <w:r>
        <w:rPr>
          <w:rFonts w:ascii="Calibri" w:hAnsi="Calibri"/>
          <w:b/>
          <w:color w:val="525866"/>
          <w:sz w:val="22"/>
        </w:rPr>
        <w:t>Implication:</w:t>
      </w:r>
      <w:r>
        <w:rPr>
          <w:rFonts w:ascii="Calibri" w:hAnsi="Calibri"/>
          <w:color w:val="525866"/>
          <w:sz w:val="22"/>
        </w:rPr>
        <w:t xml:space="preserve"> Consistent signal of a soft U.S. consumer environment heading into PG's Q4; supports the low end of organic sales expectations.</w:t>
      </w:r>
    </w:p>
    <w:p>
      <w:pPr>
        <w:pStyle w:val="ListBullet"/>
        <w:ind w:left="360" w:hanging="360"/>
      </w:pPr>
      <w:r>
        <w:rPr>
          <w:rFonts w:ascii="Calibri" w:hAnsi="Calibri"/>
          <w:b/>
          <w:color w:val="525866"/>
          <w:sz w:val="22"/>
        </w:rPr>
        <w:t>Jul 28, 2026 — Unilever Q2 2026 Results (Peer):</w:t>
      </w:r>
      <w:r>
        <w:rPr>
          <w:rFonts w:ascii="Calibri" w:hAnsi="Calibri"/>
          <w:color w:val="525866"/>
          <w:sz w:val="22"/>
        </w:rPr>
        <w:t xml:space="preserve"> Unilever reported Q2 underlying sales growth of +5.8% with volume +5.5% (best quarterly volume since 2010), beating Street expectations of +4.15%. Raised full-year guidance. </w:t>
      </w:r>
      <w:r>
        <w:rPr>
          <w:rFonts w:ascii="Calibri" w:hAnsi="Calibri"/>
          <w:b/>
          <w:color w:val="525866"/>
          <w:sz w:val="22"/>
        </w:rPr>
        <w:t>Implication:</w:t>
      </w:r>
      <w:r>
        <w:rPr>
          <w:rFonts w:ascii="Calibri" w:hAnsi="Calibri"/>
          <w:color w:val="525866"/>
          <w:sz w:val="22"/>
        </w:rPr>
        <w:t xml:space="preserve"> Positive read-through for global consumer demand in personal care and home care; Unilever's outperformance is partly company-specific (FIFA World Cup activation, strong execution) but the volume-led nature of the beat is broadly encouraging for the category.</w:t>
      </w:r>
    </w:p>
    <w:p>
      <w:pPr>
        <w:pStyle w:val="ListBullet"/>
        <w:ind w:left="360" w:hanging="360"/>
      </w:pPr>
      <w:r>
        <w:rPr>
          <w:rFonts w:ascii="Calibri" w:hAnsi="Calibri"/>
          <w:b/>
          <w:color w:val="525866"/>
          <w:sz w:val="22"/>
        </w:rPr>
        <w:t>Jul 28, 2026 — Coca-Cola Q2 2026 Results (Peer):</w:t>
      </w:r>
      <w:r>
        <w:rPr>
          <w:rFonts w:ascii="Calibri" w:hAnsi="Calibri"/>
          <w:color w:val="525866"/>
          <w:sz w:val="22"/>
        </w:rPr>
        <w:t xml:space="preserve"> KO reported organic revenue +6%, volume +5%, EPS +11%, and raised full-year guidance. North America volume +3%. </w:t>
      </w:r>
      <w:r>
        <w:rPr>
          <w:rFonts w:ascii="Calibri" w:hAnsi="Calibri"/>
          <w:b/>
          <w:color w:val="525866"/>
          <w:sz w:val="22"/>
        </w:rPr>
        <w:t>Implication:</w:t>
      </w:r>
      <w:r>
        <w:rPr>
          <w:rFonts w:ascii="Calibri" w:hAnsi="Calibri"/>
          <w:color w:val="525866"/>
          <w:sz w:val="22"/>
        </w:rPr>
        <w:t xml:space="preserve"> Positive for consumer demand broadly; KO's categories (beverages) are different from PG's but the North America volume strength is a mild positive read-through for consumer spending on branded goods.</w:t>
      </w:r>
    </w:p>
    <w:p>
      <w:pPr>
        <w:pStyle w:val="ListBullet"/>
        <w:ind w:left="360" w:hanging="360"/>
      </w:pPr>
      <w:r>
        <w:rPr>
          <w:rFonts w:ascii="Calibri" w:hAnsi="Calibri"/>
          <w:b/>
          <w:color w:val="525866"/>
          <w:sz w:val="22"/>
        </w:rPr>
        <w:t>Jul 28, 2026 — Mondelez Q2 2026 Results (Peer):</w:t>
      </w:r>
      <w:r>
        <w:rPr>
          <w:rFonts w:ascii="Calibri" w:hAnsi="Calibri"/>
          <w:color w:val="525866"/>
          <w:sz w:val="22"/>
        </w:rPr>
        <w:t xml:space="preserve"> MDLZ reported organic sales +2.2% vs. +0.9% expected, EPS 73¢ vs. 68¢ expected. Raised full-year top-line guidance to "at least +2%" from 0–2%. North America showed positive volume mix accelerating sequentially. </w:t>
      </w:r>
      <w:r>
        <w:rPr>
          <w:rFonts w:ascii="Calibri" w:hAnsi="Calibri"/>
          <w:b/>
          <w:color w:val="525866"/>
          <w:sz w:val="22"/>
        </w:rPr>
        <w:t>Implication:</w:t>
      </w:r>
      <w:r>
        <w:rPr>
          <w:rFonts w:ascii="Calibri" w:hAnsi="Calibri"/>
          <w:color w:val="525866"/>
          <w:sz w:val="22"/>
        </w:rPr>
        <w:t xml:space="preserve"> Positive for North America consumer demand; MDLZ's snacking categories differ from PG's but the sequential acceleration in North America volume is a mild positive read-through.</w:t>
      </w:r>
    </w:p>
    <w:p>
      <w:pPr>
        <w:pStyle w:val="ListBullet"/>
        <w:ind w:left="360" w:hanging="360"/>
      </w:pPr>
      <w:r>
        <w:rPr>
          <w:rFonts w:ascii="Calibri" w:hAnsi="Calibri"/>
          <w:b/>
          <w:color w:val="525866"/>
          <w:sz w:val="22"/>
        </w:rPr>
        <w:t>Jul 22, 2026 — Philip Morris Q2 2026 Results:</w:t>
      </w:r>
      <w:r>
        <w:rPr>
          <w:rFonts w:ascii="Calibri" w:hAnsi="Calibri"/>
          <w:color w:val="525866"/>
          <w:sz w:val="22"/>
        </w:rPr>
        <w:t xml:space="preserve"> PM beat Q2 EPS ($2.20 vs. $2.04 est.) but lowered full-year guidance and Q3 guidance came in well below consensus. Smoke-free organic revenue +11.8%. </w:t>
      </w:r>
      <w:r>
        <w:rPr>
          <w:rFonts w:ascii="Calibri" w:hAnsi="Calibri"/>
          <w:b/>
          <w:color w:val="525866"/>
          <w:sz w:val="22"/>
        </w:rPr>
        <w:t>Implication:</w:t>
      </w:r>
      <w:r>
        <w:rPr>
          <w:rFonts w:ascii="Calibri" w:hAnsi="Calibri"/>
          <w:color w:val="525866"/>
          <w:sz w:val="22"/>
        </w:rPr>
        <w:t xml:space="preserve"> Limited direct read-through to PG; PM's guidance cut was company-specific (Zyn capacity/regulatory dynamics). The broader message of a challenging guidance environment for consumer companies is noted.</w:t>
      </w:r>
    </w:p>
    <w:p>
      <w:pPr>
        <w:pStyle w:val="ListBullet"/>
        <w:ind w:left="360" w:hanging="360"/>
      </w:pPr>
      <w:r>
        <w:rPr>
          <w:rFonts w:ascii="Calibri" w:hAnsi="Calibri"/>
          <w:b/>
          <w:color w:val="525866"/>
          <w:sz w:val="22"/>
        </w:rPr>
        <w:t>Jul 15, 2026 — Conagra Q4 FY26 Results:</w:t>
      </w:r>
      <w:r>
        <w:rPr>
          <w:rFonts w:ascii="Calibri" w:hAnsi="Calibri"/>
          <w:color w:val="525866"/>
          <w:sz w:val="22"/>
        </w:rPr>
        <w:t xml:space="preserve"> CAG reported flat organic revenue growth (vs. +0.75% est.), cut its dividend in half, and issued FY27 guidance well below consensus (EPS $1.45 vs. $1.54 est.; organic -2% vs. +0.3% est.). </w:t>
      </w:r>
      <w:r>
        <w:rPr>
          <w:rFonts w:ascii="Calibri" w:hAnsi="Calibri"/>
          <w:b/>
          <w:color w:val="525866"/>
          <w:sz w:val="22"/>
        </w:rPr>
        <w:t>Implication:</w:t>
      </w:r>
      <w:r>
        <w:rPr>
          <w:rFonts w:ascii="Calibri" w:hAnsi="Calibri"/>
          <w:color w:val="525866"/>
          <w:sz w:val="22"/>
        </w:rPr>
        <w:t xml:space="preserve"> Negative read-through for the packaged food space broadly; however, CAG's challenges are company-specific (portfolio complexity, leverage, new CEO turnaround). PG's superior brand portfolio and innovation pipeline differentiate it from CAG's situation.</w:t>
      </w:r>
    </w:p>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net cautiously positive</w:t>
      </w:r>
      <w:r>
        <w:rPr>
          <w:rFonts w:ascii="Calibri" w:hAnsi="Calibri"/>
          <w:color w:val="525866"/>
          <w:sz w:val="22"/>
        </w:rPr>
        <w:t xml:space="preserve"> for PG's Q4 print: global volume trends are holding up better than feared (Unilever, KO, MDLZ all beat on volume), but North America consumer softness is a consistent theme (Colgate, PepsiCo, MDLZ), and Middle East cost pressures are broad-based and real. The read-through is most relevant for PG's organic sales line and cost structure; EPS is more idiosyncratic to PG's specific cost hedging and productivity execution.</w:t>
      </w:r>
    </w:p>
    <w:p>
      <w:r>
        <w:rPr>
          <w:rFonts w:ascii="Calibri" w:hAnsi="Calibri"/>
          <w:b/>
          <w:color w:val="525866"/>
          <w:sz w:val="22"/>
        </w:rPr>
        <w:t xml:space="preserve">Methodology: </w:t>
      </w:r>
      <w:r>
        <w:rPr>
          <w:rFonts w:ascii="Calibri" w:hAnsi="Calibri"/>
          <w:color w:val="525866"/>
          <w:sz w:val="22"/>
        </w:rPr>
        <w:t>Only commentary from the 60 days ending July 28, 2026 that explicitly addresses the April–June 2026 quarter (PG's FY26 Q4), current-quarter trends, or forward outlook provided after the peer's most recent earnings is included. Retrospective commentary solely about a prior quarter's results is excluded. Company-specific noise (e.g., FIFA World Cup activation for Unilever/KO, cocoa prices for MDLZ, Zyn regulatory dynamics for PM) is flagged and distinguished from broadly applicable signals.</w:t>
      </w:r>
    </w:p>
    <w:p>
      <w:pPr>
        <w:pStyle w:val="Heading3"/>
      </w:pPr>
      <w:r>
        <w:rPr>
          <w:rFonts w:ascii="Calibri" w:hAnsi="Calibri"/>
          <w:b/>
          <w:color w:val="3B4259"/>
          <w:sz w:val="24"/>
        </w:rPr>
        <w:t>8.1 Colgate-Palmolive (CL) — Deutsche Bank Global Consumer Conference, June 3, 2026</w:t>
      </w:r>
    </w:p>
    <w:p>
      <w:r>
        <w:rPr>
          <w:rFonts w:ascii="Calibri" w:hAnsi="Calibri"/>
          <w:b/>
          <w:color w:val="525866"/>
          <w:sz w:val="22"/>
        </w:rPr>
        <w:t>Period Addressed:</w:t>
      </w:r>
      <w:r>
        <w:rPr>
          <w:rFonts w:ascii="Calibri" w:hAnsi="Calibri"/>
          <w:color w:val="525866"/>
          <w:sz w:val="22"/>
        </w:rPr>
        <w:t xml:space="preserve"> April–June 2026 (current quarter at time of conference) and forward outlook. Source date: June 3,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Colgate Commentary</w:t>
            </w:r>
          </w:p>
        </w:tc>
        <w:tc>
          <w:tcPr>
            <w:tcW w:type="dxa" w:w="2160"/>
            <w:shd w:val="clear" w:color="auto" w:fill="3B4259"/>
          </w:tcPr>
          <w:p>
            <w:r>
              <w:rPr>
                <w:rFonts w:ascii="Calibri" w:hAnsi="Calibri"/>
                <w:b/>
                <w:color w:val="FFFFFF"/>
                <w:sz w:val="22"/>
              </w:rPr>
              <w:t>PG Read-Through</w:t>
            </w:r>
          </w:p>
        </w:tc>
        <w:tc>
          <w:tcPr>
            <w:tcW w:type="dxa" w:w="2160"/>
            <w:shd w:val="clear" w:color="auto" w:fill="3B4259"/>
          </w:tcPr>
          <w:p>
            <w:r>
              <w:rPr>
                <w:rFonts w:ascii="Calibri" w:hAnsi="Calibri"/>
                <w:b/>
                <w:color w:val="FFFFFF"/>
                <w:sz w:val="22"/>
              </w:rPr>
              <w:t>Signal Strength</w:t>
            </w:r>
          </w:p>
        </w:tc>
      </w:tr>
      <w:tr>
        <w:tc>
          <w:tcPr>
            <w:tcW w:type="dxa" w:w="2160"/>
          </w:tcPr>
          <w:p>
            <w:r>
              <w:rPr>
                <w:rFonts w:ascii="Calibri" w:hAnsi="Calibri"/>
                <w:sz w:val="22"/>
              </w:rPr>
              <w:t>North America Category Softness (Apr–Jun 2026)</w:t>
            </w:r>
          </w:p>
        </w:tc>
        <w:tc>
          <w:tcPr>
            <w:tcW w:type="dxa" w:w="2160"/>
          </w:tcPr>
          <w:p>
            <w:r>
              <w:rPr>
                <w:rFonts w:ascii="Calibri" w:hAnsi="Calibri"/>
                <w:sz w:val="22"/>
              </w:rPr>
              <w:t>"In the first weeks of May, some degradation in the categories. We have seen those categories markedly slow." Attributed to "state of the consumer and some of the obvious pressure on the consumer" and a "structural underlay of this K-shaped economy." Based on 3 weeks of data; "too early to tell" if a blip or real inflection.</w:t>
            </w:r>
          </w:p>
        </w:tc>
        <w:tc>
          <w:tcPr>
            <w:tcW w:type="dxa" w:w="2160"/>
          </w:tcPr>
          <w:p>
            <w:r>
              <w:rPr>
                <w:rFonts w:ascii="Calibri" w:hAnsi="Calibri"/>
                <w:b/>
                <w:color w:val="E5484D"/>
                <w:sz w:val="22"/>
              </w:rPr>
              <w:t>Negative. Consistent with PG CFO's June 3 comment on "softening U.S. consumer trends." Supports the low end of PG's Q4 organic sales consensus (+1.6%). PG's North America volume turned positive in Q3 (+3 pts); a reversal in Q4 is a key risk.</w:t>
            </w:r>
          </w:p>
        </w:tc>
        <w:tc>
          <w:tcPr>
            <w:tcW w:type="dxa" w:w="2160"/>
          </w:tcPr>
          <w:p>
            <w:r>
              <w:rPr>
                <w:rFonts w:ascii="Calibri" w:hAnsi="Calibri"/>
                <w:sz w:val="22"/>
              </w:rPr>
              <w:t>High — directly applicable to PG's North America segment</w:t>
            </w:r>
          </w:p>
        </w:tc>
      </w:tr>
      <w:tr>
        <w:tc>
          <w:tcPr>
            <w:tcW w:type="dxa" w:w="2160"/>
          </w:tcPr>
          <w:p>
            <w:r>
              <w:rPr>
                <w:rFonts w:ascii="Calibri" w:hAnsi="Calibri"/>
                <w:sz w:val="22"/>
              </w:rPr>
              <w:t>Promotional Intensity Increasing</w:t>
            </w:r>
          </w:p>
        </w:tc>
        <w:tc>
          <w:tcPr>
            <w:tcW w:type="dxa" w:w="2160"/>
          </w:tcPr>
          <w:p>
            <w:r>
              <w:rPr>
                <w:rFonts w:ascii="Calibri" w:hAnsi="Calibri"/>
                <w:sz w:val="22"/>
              </w:rPr>
              <w:t>"Promotional intensity starting to tick up." Implementing "surgical interventions on some pricing action." Categories "remained largely rational" but with a "slight uptick in activity."</w:t>
            </w:r>
          </w:p>
        </w:tc>
        <w:tc>
          <w:tcPr>
            <w:tcW w:type="dxa" w:w="2160"/>
          </w:tcPr>
          <w:p>
            <w:r>
              <w:rPr>
                <w:rFonts w:ascii="Calibri" w:hAnsi="Calibri"/>
                <w:b/>
                <w:color w:val="E5484D"/>
                <w:sz w:val="22"/>
              </w:rPr>
              <w:t>Mildly negative. PG has been explicit about not pursuing straight-line price increases; increased promotional activity from peers could pressure PG's pricing/mix in North America.</w:t>
            </w:r>
          </w:p>
        </w:tc>
        <w:tc>
          <w:tcPr>
            <w:tcW w:type="dxa" w:w="2160"/>
          </w:tcPr>
          <w:p>
            <w:r>
              <w:rPr>
                <w:rFonts w:ascii="Calibri" w:hAnsi="Calibri"/>
                <w:sz w:val="22"/>
              </w:rPr>
              <w:t>Medium — applicable but PG's categories differ from oral care</w:t>
            </w:r>
          </w:p>
        </w:tc>
      </w:tr>
      <w:tr>
        <w:tc>
          <w:tcPr>
            <w:tcW w:type="dxa" w:w="2160"/>
          </w:tcPr>
          <w:p>
            <w:r>
              <w:rPr>
                <w:rFonts w:ascii="Calibri" w:hAnsi="Calibri"/>
                <w:sz w:val="22"/>
              </w:rPr>
              <w:t>Latin America Resilience</w:t>
            </w:r>
          </w:p>
        </w:tc>
        <w:tc>
          <w:tcPr>
            <w:tcW w:type="dxa" w:w="2160"/>
          </w:tcPr>
          <w:p>
            <w:r>
              <w:rPr>
                <w:rFonts w:ascii="Calibri" w:hAnsi="Calibri"/>
                <w:sz w:val="22"/>
              </w:rPr>
              <w:t>"Relatively healthy" categories with "underlying volume growth" and "positive market shares across most geographies." "Premiumization" working well. "Results are good, and we expect that to continue."</w:t>
            </w:r>
          </w:p>
        </w:tc>
        <w:tc>
          <w:tcPr>
            <w:tcW w:type="dxa" w:w="2160"/>
          </w:tcPr>
          <w:p>
            <w:r>
              <w:rPr>
                <w:rFonts w:ascii="Calibri" w:hAnsi="Calibri"/>
                <w:b/>
                <w:color w:val="30A46C"/>
                <w:sz w:val="22"/>
              </w:rPr>
              <w:t>Positive. PG's Latin America has been a consistent bright spot (high single-digit growth in each of the 3 quarters of FY26). Colgate's confirmation of category health supports continued PG outperformance in the region.</w:t>
            </w:r>
          </w:p>
        </w:tc>
        <w:tc>
          <w:tcPr>
            <w:tcW w:type="dxa" w:w="2160"/>
          </w:tcPr>
          <w:p>
            <w:r>
              <w:rPr>
                <w:rFonts w:ascii="Calibri" w:hAnsi="Calibri"/>
                <w:sz w:val="22"/>
              </w:rPr>
              <w:t>High — PG and CL compete directly in Latin America</w:t>
            </w:r>
          </w:p>
        </w:tc>
      </w:tr>
      <w:tr>
        <w:tc>
          <w:tcPr>
            <w:tcW w:type="dxa" w:w="2160"/>
          </w:tcPr>
          <w:p>
            <w:r>
              <w:rPr>
                <w:rFonts w:ascii="Calibri" w:hAnsi="Calibri"/>
                <w:sz w:val="22"/>
              </w:rPr>
              <w:t>Pricing Strategy: U.S. Caution</w:t>
            </w:r>
          </w:p>
        </w:tc>
        <w:tc>
          <w:tcPr>
            <w:tcW w:type="dxa" w:w="2160"/>
          </w:tcPr>
          <w:p>
            <w:r>
              <w:rPr>
                <w:rFonts w:ascii="Calibri" w:hAnsi="Calibri"/>
                <w:sz w:val="22"/>
              </w:rPr>
              <w:t>"In the U.S., we're probably going to be much, much more considered in terms of any further pricing action." Focus on "mix play and revenue growth management tool play as opposed to headline pricing given the state of the consumer."</w:t>
            </w:r>
          </w:p>
        </w:tc>
        <w:tc>
          <w:tcPr>
            <w:tcW w:type="dxa" w:w="2160"/>
          </w:tcPr>
          <w:p>
            <w:r>
              <w:rPr>
                <w:rFonts w:ascii="Calibri" w:hAnsi="Calibri"/>
                <w:b/>
                <w:color w:val="30A46C"/>
                <w:sz w:val="22"/>
              </w:rPr>
              <w:t>Positive alignment. PG has explicitly rejected straight-line price increases in favor of innovation-linked pricing. Colgate's confirmation that the industry is moving away from headline pricing reduces the risk of a price war that could force PG's hand.</w:t>
            </w:r>
          </w:p>
        </w:tc>
        <w:tc>
          <w:tcPr>
            <w:tcW w:type="dxa" w:w="2160"/>
          </w:tcPr>
          <w:p>
            <w:r>
              <w:rPr>
                <w:rFonts w:ascii="Calibri" w:hAnsi="Calibri"/>
                <w:sz w:val="22"/>
              </w:rPr>
              <w:t>High — directly applicable to PG's pricing philosophy</w:t>
            </w:r>
          </w:p>
        </w:tc>
      </w:tr>
      <w:tr>
        <w:tc>
          <w:tcPr>
            <w:tcW w:type="dxa" w:w="2160"/>
          </w:tcPr>
          <w:p>
            <w:r>
              <w:rPr>
                <w:rFonts w:ascii="Calibri" w:hAnsi="Calibri"/>
                <w:sz w:val="22"/>
              </w:rPr>
              <w:t>Asia Consumer Resilience</w:t>
            </w:r>
          </w:p>
        </w:tc>
        <w:tc>
          <w:tcPr>
            <w:tcW w:type="dxa" w:w="2160"/>
          </w:tcPr>
          <w:p>
            <w:r>
              <w:rPr>
                <w:rFonts w:ascii="Calibri" w:hAnsi="Calibri"/>
                <w:sz w:val="22"/>
              </w:rPr>
              <w:t>"Generally the consumer hold in pretty well" in Asia. India "bounced back, had a great first quarter." H&amp;H business "improve sequentially."</w:t>
            </w:r>
          </w:p>
        </w:tc>
        <w:tc>
          <w:tcPr>
            <w:tcW w:type="dxa" w:w="2160"/>
          </w:tcPr>
          <w:p>
            <w:r>
              <w:rPr>
                <w:rFonts w:ascii="Calibri" w:hAnsi="Calibri"/>
                <w:b/>
                <w:color w:val="30A46C"/>
                <w:sz w:val="22"/>
              </w:rPr>
              <w:t>Mildly positive. PG's Greater China grew +3% in Q3 with Pampers and SK-II each up double digits. Colgate's Asia resilience supports the view that PG's AMEA segment can continue to grow.</w:t>
            </w:r>
          </w:p>
        </w:tc>
        <w:tc>
          <w:tcPr>
            <w:tcW w:type="dxa" w:w="2160"/>
          </w:tcPr>
          <w:p>
            <w:r>
              <w:rPr>
                <w:rFonts w:ascii="Calibri" w:hAnsi="Calibri"/>
                <w:sz w:val="22"/>
              </w:rPr>
              <w:t>Medium — applicable but PG's China exposure is larger</w:t>
            </w:r>
          </w:p>
        </w:tc>
      </w:tr>
      <w:tr>
        <w:tc>
          <w:tcPr>
            <w:tcW w:type="dxa" w:w="2160"/>
          </w:tcPr>
          <w:p>
            <w:r>
              <w:rPr>
                <w:rFonts w:ascii="Calibri" w:hAnsi="Calibri"/>
                <w:sz w:val="22"/>
              </w:rPr>
              <w:t>Read-Through Limits</w:t>
            </w:r>
          </w:p>
        </w:tc>
        <w:tc>
          <w:tcPr>
            <w:tcW w:type="dxa" w:w="2160"/>
          </w:tcPr>
          <w:p>
            <w:r>
              <w:rPr>
                <w:rFonts w:ascii="Calibri" w:hAnsi="Calibri"/>
                <w:sz w:val="22"/>
              </w:rPr>
              <w:t>Colgate is primarily oral care and personal care; does not compete in fabric care, baby care, or grooming. The "markedly slow" North America comment is based on 3 weeks of May data and may not reflect the full quarter.</w:t>
            </w:r>
          </w:p>
        </w:tc>
        <w:tc>
          <w:tcPr>
            <w:tcW w:type="dxa" w:w="2160"/>
          </w:tcPr>
          <w:p>
            <w:r>
              <w:rPr>
                <w:rFonts w:ascii="Calibri" w:hAnsi="Calibri"/>
                <w:sz w:val="22"/>
              </w:rPr>
              <w:t>Scope limited to oral care and personal care categories. PG's fabric care, baby care, and grooming segments are not directly read-through from CL.</w:t>
            </w:r>
          </w:p>
        </w:tc>
        <w:tc>
          <w:tcPr>
            <w:tcW w:type="dxa" w:w="2160"/>
          </w:tcPr>
          <w:p>
            <w:r>
              <w:rPr>
                <w:rFonts w:ascii="Calibri" w:hAnsi="Calibri"/>
                <w:sz w:val="22"/>
              </w:rPr>
              <w:t>N/A</w:t>
            </w:r>
          </w:p>
        </w:tc>
      </w:tr>
    </w:tbl>
    <w:p>
      <w:pPr>
        <w:pStyle w:val="Heading3"/>
      </w:pPr>
      <w:r>
        <w:rPr>
          <w:rFonts w:ascii="Calibri" w:hAnsi="Calibri"/>
          <w:b/>
          <w:color w:val="3B4259"/>
          <w:sz w:val="24"/>
        </w:rPr>
        <w:t>8.2 Kimberly-Clark (KMB) — Deutsche Bank Global Consumer Conference, June 4, 2026</w:t>
      </w:r>
    </w:p>
    <w:p>
      <w:r>
        <w:rPr>
          <w:rFonts w:ascii="Calibri" w:hAnsi="Calibri"/>
          <w:b/>
          <w:color w:val="525866"/>
          <w:sz w:val="22"/>
        </w:rPr>
        <w:t>Period Addressed:</w:t>
      </w:r>
      <w:r>
        <w:rPr>
          <w:rFonts w:ascii="Calibri" w:hAnsi="Calibri"/>
          <w:color w:val="525866"/>
          <w:sz w:val="22"/>
        </w:rPr>
        <w:t xml:space="preserve"> April–June 2026 (current quarter at time of conference) and forward outlook. Source date: June 4,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KMB Commentary</w:t>
            </w:r>
          </w:p>
        </w:tc>
        <w:tc>
          <w:tcPr>
            <w:tcW w:type="dxa" w:w="2160"/>
            <w:shd w:val="clear" w:color="auto" w:fill="3B4259"/>
          </w:tcPr>
          <w:p>
            <w:r>
              <w:rPr>
                <w:rFonts w:ascii="Calibri" w:hAnsi="Calibri"/>
                <w:b/>
                <w:color w:val="FFFFFF"/>
                <w:sz w:val="22"/>
              </w:rPr>
              <w:t>PG Read-Through</w:t>
            </w:r>
          </w:p>
        </w:tc>
        <w:tc>
          <w:tcPr>
            <w:tcW w:type="dxa" w:w="2160"/>
            <w:shd w:val="clear" w:color="auto" w:fill="3B4259"/>
          </w:tcPr>
          <w:p>
            <w:r>
              <w:rPr>
                <w:rFonts w:ascii="Calibri" w:hAnsi="Calibri"/>
                <w:b/>
                <w:color w:val="FFFFFF"/>
                <w:sz w:val="22"/>
              </w:rPr>
              <w:t>Signal Strength</w:t>
            </w:r>
          </w:p>
        </w:tc>
      </w:tr>
      <w:tr>
        <w:tc>
          <w:tcPr>
            <w:tcW w:type="dxa" w:w="2160"/>
          </w:tcPr>
          <w:p>
            <w:r>
              <w:rPr>
                <w:rFonts w:ascii="Calibri" w:hAnsi="Calibri"/>
                <w:sz w:val="22"/>
              </w:rPr>
              <w:t>North America Shipments Lagging Consumption (Q2 2026)</w:t>
            </w:r>
          </w:p>
        </w:tc>
        <w:tc>
          <w:tcPr>
            <w:tcW w:type="dxa" w:w="2160"/>
          </w:tcPr>
          <w:p>
            <w:r>
              <w:rPr>
                <w:rFonts w:ascii="Calibri" w:hAnsi="Calibri"/>
                <w:sz w:val="22"/>
              </w:rPr>
              <w:t>"We still expect the second quarter to see a similar trend" where shipments lag consumption. Foreseeing headwinds of ~70–80 bps on North America shipments from L.A. distribution center fire. Also lapping strongest comp vs. 2025 (North America volumes &gt;5% in Q2 2025).</w:t>
            </w:r>
          </w:p>
        </w:tc>
        <w:tc>
          <w:tcPr>
            <w:tcW w:type="dxa" w:w="2160"/>
          </w:tcPr>
          <w:p>
            <w:r>
              <w:rPr>
                <w:rFonts w:ascii="Calibri" w:hAnsi="Calibri"/>
                <w:b/>
                <w:color w:val="E5484D"/>
                <w:sz w:val="22"/>
              </w:rPr>
              <w:t>Mildly negative. The shipments-lagging-consumption dynamic could indicate cautious retailer ordering across the industry. However, the L.A. DC fire is KMB-specific and does not read through to PG. The tough comp dynamic is relevant — PG also had strong Q3 FY25 comparisons.</w:t>
            </w:r>
          </w:p>
        </w:tc>
        <w:tc>
          <w:tcPr>
            <w:tcW w:type="dxa" w:w="2160"/>
          </w:tcPr>
          <w:p>
            <w:r>
              <w:rPr>
                <w:rFonts w:ascii="Calibri" w:hAnsi="Calibri"/>
                <w:sz w:val="22"/>
              </w:rPr>
              <w:t>Medium — KMB competes directly with PG in baby care, feminine care, and tissue</w:t>
            </w:r>
          </w:p>
        </w:tc>
      </w:tr>
      <w:tr>
        <w:tc>
          <w:tcPr>
            <w:tcW w:type="dxa" w:w="2160"/>
          </w:tcPr>
          <w:p>
            <w:r>
              <w:rPr>
                <w:rFonts w:ascii="Calibri" w:hAnsi="Calibri"/>
                <w:sz w:val="22"/>
              </w:rPr>
              <w:t>Input Cost Volatility (Q2 2026)</w:t>
            </w:r>
          </w:p>
        </w:tc>
        <w:tc>
          <w:tcPr>
            <w:tcW w:type="dxa" w:w="2160"/>
          </w:tcPr>
          <w:p>
            <w:r>
              <w:rPr>
                <w:rFonts w:ascii="Calibri" w:hAnsi="Calibri"/>
                <w:sz w:val="22"/>
              </w:rPr>
              <w:t>"No update versus what we provided back in Q1" on price net of commodity costs (PNOC). Teams "diligently working through identifying what the exact impacts are going to be." Committed to not cutting investments behind innovation and brands.</w:t>
            </w:r>
          </w:p>
        </w:tc>
        <w:tc>
          <w:tcPr>
            <w:tcW w:type="dxa" w:w="2160"/>
          </w:tcPr>
          <w:p>
            <w:r>
              <w:rPr>
                <w:rFonts w:ascii="Calibri" w:hAnsi="Calibri"/>
                <w:b/>
                <w:color w:val="E5484D"/>
                <w:sz w:val="22"/>
              </w:rPr>
              <w:t>Neutral to mildly negative. The lack of a new PNOC update implies continued cost uncertainty, consistent with PG's own messaging. KMB's commitment to protecting brand investment mirrors PG's stated philosophy.</w:t>
            </w:r>
          </w:p>
        </w:tc>
        <w:tc>
          <w:tcPr>
            <w:tcW w:type="dxa" w:w="2160"/>
          </w:tcPr>
          <w:p>
            <w:r>
              <w:rPr>
                <w:rFonts w:ascii="Calibri" w:hAnsi="Calibri"/>
                <w:sz w:val="22"/>
              </w:rPr>
              <w:t>Medium — both companies face similar commodity feedstock exposures</w:t>
            </w:r>
          </w:p>
        </w:tc>
      </w:tr>
      <w:tr>
        <w:tc>
          <w:tcPr>
            <w:tcW w:type="dxa" w:w="2160"/>
          </w:tcPr>
          <w:p>
            <w:r>
              <w:rPr>
                <w:rFonts w:ascii="Calibri" w:hAnsi="Calibri"/>
                <w:sz w:val="22"/>
              </w:rPr>
              <w:t>Kenvue Integration Progress (Post-Earnings Development)</w:t>
            </w:r>
          </w:p>
        </w:tc>
        <w:tc>
          <w:tcPr>
            <w:tcW w:type="dxa" w:w="2160"/>
          </w:tcPr>
          <w:p>
            <w:r>
              <w:rPr>
                <w:rFonts w:ascii="Calibri" w:hAnsi="Calibri"/>
                <w:sz w:val="22"/>
              </w:rPr>
              <w:t>CEO Hsu attended Kenvue global town hall in late May: "the closer you look, the better it gets." Encouraged by Kenvue's recent organizational restructuring. Integration management office running with 40+ work streams and 400 people. Expects deal to close by mid-2027.</w:t>
            </w:r>
          </w:p>
        </w:tc>
        <w:tc>
          <w:tcPr>
            <w:tcW w:type="dxa" w:w="2160"/>
          </w:tcPr>
          <w:p>
            <w:r>
              <w:rPr>
                <w:rFonts w:ascii="Calibri" w:hAnsi="Calibri"/>
                <w:b/>
                <w:color w:val="E5484D"/>
                <w:sz w:val="22"/>
              </w:rPr>
              <w:t>Mildly negative for PG. A stronger, more integrated KMB-Kenvue entity in health and wellness/personal care could increase competitive intensity in categories where PG competes (oral care, skin care, OTC health). Monitor for accelerated innovation and distribution expansion.</w:t>
            </w:r>
          </w:p>
        </w:tc>
        <w:tc>
          <w:tcPr>
            <w:tcW w:type="dxa" w:w="2160"/>
          </w:tcPr>
          <w:p>
            <w:r>
              <w:rPr>
                <w:rFonts w:ascii="Calibri" w:hAnsi="Calibri"/>
                <w:sz w:val="22"/>
              </w:rPr>
              <w:t>Medium — relevant to PG's Health Care and Beauty segments</w:t>
            </w:r>
          </w:p>
        </w:tc>
      </w:tr>
      <w:tr>
        <w:tc>
          <w:tcPr>
            <w:tcW w:type="dxa" w:w="2160"/>
          </w:tcPr>
          <w:p>
            <w:r>
              <w:rPr>
                <w:rFonts w:ascii="Calibri" w:hAnsi="Calibri"/>
                <w:sz w:val="22"/>
              </w:rPr>
              <w:t>Read-Through Limits</w:t>
            </w:r>
          </w:p>
        </w:tc>
        <w:tc>
          <w:tcPr>
            <w:tcW w:type="dxa" w:w="2160"/>
          </w:tcPr>
          <w:p>
            <w:r>
              <w:rPr>
                <w:rFonts w:ascii="Calibri" w:hAnsi="Calibri"/>
                <w:sz w:val="22"/>
              </w:rPr>
              <w:t>L.A. DC fire is KMB-specific. Kenvue integration commentary is forward-looking competitive intelligence, not a current-quarter demand signal. KMB does not compete in fabric care, grooming, or beauty.</w:t>
            </w:r>
          </w:p>
        </w:tc>
        <w:tc>
          <w:tcPr>
            <w:tcW w:type="dxa" w:w="2160"/>
          </w:tcPr>
          <w:p>
            <w:r>
              <w:rPr>
                <w:rFonts w:ascii="Calibri" w:hAnsi="Calibri"/>
                <w:sz w:val="22"/>
              </w:rPr>
              <w:t>Scope limited to baby care, feminine care, and tissue/personal care categories.</w:t>
            </w:r>
          </w:p>
        </w:tc>
        <w:tc>
          <w:tcPr>
            <w:tcW w:type="dxa" w:w="2160"/>
          </w:tcPr>
          <w:p>
            <w:r>
              <w:rPr>
                <w:rFonts w:ascii="Calibri" w:hAnsi="Calibri"/>
                <w:sz w:val="22"/>
              </w:rPr>
              <w:t>N/A</w:t>
            </w:r>
          </w:p>
        </w:tc>
      </w:tr>
    </w:tbl>
    <w:p>
      <w:pPr>
        <w:pStyle w:val="Heading3"/>
      </w:pPr>
      <w:r>
        <w:rPr>
          <w:rFonts w:ascii="Calibri" w:hAnsi="Calibri"/>
          <w:b/>
          <w:color w:val="3B4259"/>
          <w:sz w:val="24"/>
        </w:rPr>
        <w:t>8.3 Church &amp; Dwight (CHD) — Deutsche Bank Global Consumer Conference, June 2, 2026</w:t>
      </w:r>
    </w:p>
    <w:p>
      <w:r>
        <w:rPr>
          <w:rFonts w:ascii="Calibri" w:hAnsi="Calibri"/>
          <w:b/>
          <w:color w:val="525866"/>
          <w:sz w:val="22"/>
        </w:rPr>
        <w:t>Period Addressed:</w:t>
      </w:r>
      <w:r>
        <w:rPr>
          <w:rFonts w:ascii="Calibri" w:hAnsi="Calibri"/>
          <w:color w:val="525866"/>
          <w:sz w:val="22"/>
        </w:rPr>
        <w:t xml:space="preserve"> 2026 current year trends and forward outlook. Source date: June 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CHD Commentary</w:t>
            </w:r>
          </w:p>
        </w:tc>
        <w:tc>
          <w:tcPr>
            <w:tcW w:type="dxa" w:w="2160"/>
            <w:shd w:val="clear" w:color="auto" w:fill="3B4259"/>
          </w:tcPr>
          <w:p>
            <w:r>
              <w:rPr>
                <w:rFonts w:ascii="Calibri" w:hAnsi="Calibri"/>
                <w:b/>
                <w:color w:val="FFFFFF"/>
                <w:sz w:val="22"/>
              </w:rPr>
              <w:t>PG Read-Through</w:t>
            </w:r>
          </w:p>
        </w:tc>
        <w:tc>
          <w:tcPr>
            <w:tcW w:type="dxa" w:w="2160"/>
            <w:shd w:val="clear" w:color="auto" w:fill="3B4259"/>
          </w:tcPr>
          <w:p>
            <w:r>
              <w:rPr>
                <w:rFonts w:ascii="Calibri" w:hAnsi="Calibri"/>
                <w:b/>
                <w:color w:val="FFFFFF"/>
                <w:sz w:val="22"/>
              </w:rPr>
              <w:t>Signal Strength</w:t>
            </w:r>
          </w:p>
        </w:tc>
      </w:tr>
      <w:tr>
        <w:tc>
          <w:tcPr>
            <w:tcW w:type="dxa" w:w="2160"/>
          </w:tcPr>
          <w:p>
            <w:r>
              <w:rPr>
                <w:rFonts w:ascii="Calibri" w:hAnsi="Calibri"/>
                <w:sz w:val="22"/>
              </w:rPr>
              <w:t>Consumer Sentiment at All-Time Low</w:t>
            </w:r>
          </w:p>
        </w:tc>
        <w:tc>
          <w:tcPr>
            <w:tcW w:type="dxa" w:w="2160"/>
          </w:tcPr>
          <w:p>
            <w:r>
              <w:rPr>
                <w:rFonts w:ascii="Calibri" w:hAnsi="Calibri"/>
                <w:sz w:val="22"/>
              </w:rPr>
              <w:t>"Consumer sentiment is low. It's at an all-time low, actually, the last reading." Despite this, CHD had ~5% volume growth in Q1 2026 and is maintaining 3–4% organic growth outlook for 2026.</w:t>
            </w:r>
          </w:p>
        </w:tc>
        <w:tc>
          <w:tcPr>
            <w:tcW w:type="dxa" w:w="2160"/>
          </w:tcPr>
          <w:p>
            <w:r>
              <w:rPr>
                <w:rFonts w:ascii="Calibri" w:hAnsi="Calibri"/>
                <w:b/>
                <w:color w:val="30A46C"/>
                <w:sz w:val="22"/>
              </w:rPr>
              <w:t>Negative for sentiment, but positive for volume resilience. The fact that CHD achieved 5% volume growth despite all-time low consumer sentiment suggests that essential household and personal care categories are resilient. PG's diversified portfolio should similarly benefit from category stickiness.</w:t>
            </w:r>
          </w:p>
        </w:tc>
        <w:tc>
          <w:tcPr>
            <w:tcW w:type="dxa" w:w="2160"/>
          </w:tcPr>
          <w:p>
            <w:r>
              <w:rPr>
                <w:rFonts w:ascii="Calibri" w:hAnsi="Calibri"/>
                <w:sz w:val="22"/>
              </w:rPr>
              <w:t>Medium — CHD competes in household and personal care but is smaller and more U.S.-focused</w:t>
            </w:r>
          </w:p>
        </w:tc>
      </w:tr>
      <w:tr>
        <w:tc>
          <w:tcPr>
            <w:tcW w:type="dxa" w:w="2160"/>
          </w:tcPr>
          <w:p>
            <w:r>
              <w:rPr>
                <w:rFonts w:ascii="Calibri" w:hAnsi="Calibri"/>
                <w:sz w:val="22"/>
              </w:rPr>
              <w:t>Value Tier Demand Increasing</w:t>
            </w:r>
          </w:p>
        </w:tc>
        <w:tc>
          <w:tcPr>
            <w:tcW w:type="dxa" w:w="2160"/>
          </w:tcPr>
          <w:p>
            <w:r>
              <w:rPr>
                <w:rFonts w:ascii="Calibri" w:hAnsi="Calibri"/>
                <w:sz w:val="22"/>
              </w:rPr>
              <w:t>"What better time than today where consumers are struggling with gas prices to be able to have a good offering in the value tier." CHD's value-tier baking soda products performing well in 2026.</w:t>
            </w:r>
          </w:p>
        </w:tc>
        <w:tc>
          <w:tcPr>
            <w:tcW w:type="dxa" w:w="2160"/>
          </w:tcPr>
          <w:p>
            <w:r>
              <w:rPr>
                <w:rFonts w:ascii="Calibri" w:hAnsi="Calibri"/>
                <w:b/>
                <w:color w:val="E5484D"/>
                <w:sz w:val="22"/>
              </w:rPr>
              <w:t>Mildly negative for PG's premium mix. Increased demand for value-tier products could pressure PG's price/mix contribution. PG has been explicit about needing to compete across value tiers, particularly in baby care.</w:t>
            </w:r>
          </w:p>
        </w:tc>
        <w:tc>
          <w:tcPr>
            <w:tcW w:type="dxa" w:w="2160"/>
          </w:tcPr>
          <w:p>
            <w:r>
              <w:rPr>
                <w:rFonts w:ascii="Calibri" w:hAnsi="Calibri"/>
                <w:sz w:val="22"/>
              </w:rPr>
              <w:t>Medium — applicable to PG's value-tier positioning</w:t>
            </w:r>
          </w:p>
        </w:tc>
      </w:tr>
      <w:tr>
        <w:tc>
          <w:tcPr>
            <w:tcW w:type="dxa" w:w="2160"/>
          </w:tcPr>
          <w:p>
            <w:r>
              <w:rPr>
                <w:rFonts w:ascii="Calibri" w:hAnsi="Calibri"/>
                <w:sz w:val="22"/>
              </w:rPr>
              <w:t>Gross Margin Expansion Outlook (2026)</w:t>
            </w:r>
          </w:p>
        </w:tc>
        <w:tc>
          <w:tcPr>
            <w:tcW w:type="dxa" w:w="2160"/>
          </w:tcPr>
          <w:p>
            <w:r>
              <w:rPr>
                <w:rFonts w:ascii="Calibri" w:hAnsi="Calibri"/>
                <w:sz w:val="22"/>
              </w:rPr>
              <w:t>"This year, we actually have an outlook of 100 basis points" of gross margin improvement. Driven by productivity, favorable commodity costs, and pricing.</w:t>
            </w:r>
          </w:p>
        </w:tc>
        <w:tc>
          <w:tcPr>
            <w:tcW w:type="dxa" w:w="2160"/>
          </w:tcPr>
          <w:p>
            <w:r>
              <w:rPr>
                <w:rFonts w:ascii="Calibri" w:hAnsi="Calibri"/>
                <w:b/>
                <w:color w:val="30A46C"/>
                <w:sz w:val="22"/>
              </w:rPr>
              <w:t>Mildly positive for the sector. If CHD is achieving 100 bps gross margin expansion, it suggests the underlying commodity environment (ex-Middle East disruption) is not uniformly negative. PG's gross margin is more exposed to Middle East-specific feedstocks.</w:t>
            </w:r>
          </w:p>
        </w:tc>
        <w:tc>
          <w:tcPr>
            <w:tcW w:type="dxa" w:w="2160"/>
          </w:tcPr>
          <w:p>
            <w:r>
              <w:rPr>
                <w:rFonts w:ascii="Calibri" w:hAnsi="Calibri"/>
                <w:sz w:val="22"/>
              </w:rPr>
              <w:t>Low-Medium — CHD's commodity basket differs from PG's</w:t>
            </w:r>
          </w:p>
        </w:tc>
      </w:tr>
      <w:tr>
        <w:tc>
          <w:tcPr>
            <w:tcW w:type="dxa" w:w="2160"/>
          </w:tcPr>
          <w:p>
            <w:r>
              <w:rPr>
                <w:rFonts w:ascii="Calibri" w:hAnsi="Calibri"/>
                <w:sz w:val="22"/>
              </w:rPr>
              <w:t>Shelf Space Gains</w:t>
            </w:r>
          </w:p>
        </w:tc>
        <w:tc>
          <w:tcPr>
            <w:tcW w:type="dxa" w:w="2160"/>
          </w:tcPr>
          <w:p>
            <w:r>
              <w:rPr>
                <w:rFonts w:ascii="Calibri" w:hAnsi="Calibri"/>
                <w:sz w:val="22"/>
              </w:rPr>
              <w:t>"Gained phenomenal shelf space this last kind of reset. And this is almost double our closest competitor or the average competitor in the industry." Driven by volume growth, innovation, and higher velocities.</w:t>
            </w:r>
          </w:p>
        </w:tc>
        <w:tc>
          <w:tcPr>
            <w:tcW w:type="dxa" w:w="2160"/>
          </w:tcPr>
          <w:p>
            <w:r>
              <w:rPr>
                <w:rFonts w:ascii="Calibri" w:hAnsi="Calibri"/>
                <w:b/>
                <w:color w:val="E5484D"/>
                <w:sz w:val="22"/>
              </w:rPr>
              <w:t>Neutral to mildly negative. CHD's outsized shelf space gains suggest retailers are actively resetting categories and rewarding performance. PG's own shelf space trajectory (with ~4/5 of brand-customer combinations having a firm plan to grow share within 90 days per June 3 update) is a key watch item.</w:t>
            </w:r>
          </w:p>
        </w:tc>
        <w:tc>
          <w:tcPr>
            <w:tcW w:type="dxa" w:w="2160"/>
          </w:tcPr>
          <w:p>
            <w:r>
              <w:rPr>
                <w:rFonts w:ascii="Calibri" w:hAnsi="Calibri"/>
                <w:sz w:val="22"/>
              </w:rPr>
              <w:t>Low — CHD is a smaller player; shelf space dynamics differ</w:t>
            </w:r>
          </w:p>
        </w:tc>
      </w:tr>
      <w:tr>
        <w:tc>
          <w:tcPr>
            <w:tcW w:type="dxa" w:w="2160"/>
          </w:tcPr>
          <w:p>
            <w:r>
              <w:rPr>
                <w:rFonts w:ascii="Calibri" w:hAnsi="Calibri"/>
                <w:sz w:val="22"/>
              </w:rPr>
              <w:t>Read-Through Limits</w:t>
            </w:r>
          </w:p>
        </w:tc>
        <w:tc>
          <w:tcPr>
            <w:tcW w:type="dxa" w:w="2160"/>
          </w:tcPr>
          <w:p>
            <w:r>
              <w:rPr>
                <w:rFonts w:ascii="Calibri" w:hAnsi="Calibri"/>
                <w:sz w:val="22"/>
              </w:rPr>
              <w:t>CHD is primarily a U.S.-focused company with limited international exposure. Its commodity basket (baking soda, surfactants) differs from PG's. The 5% Q1 volume growth is company-specific and driven by new product launches and shelf space gains, not necessarily a category-wide signal.</w:t>
            </w:r>
          </w:p>
        </w:tc>
        <w:tc>
          <w:tcPr>
            <w:tcW w:type="dxa" w:w="2160"/>
          </w:tcPr>
          <w:p>
            <w:r>
              <w:rPr>
                <w:rFonts w:ascii="Calibri" w:hAnsi="Calibri"/>
                <w:sz w:val="22"/>
              </w:rPr>
              <w:t>Scope limited to U.S. household and personal care. International read-through is minimal.</w:t>
            </w:r>
          </w:p>
        </w:tc>
        <w:tc>
          <w:tcPr>
            <w:tcW w:type="dxa" w:w="2160"/>
          </w:tcPr>
          <w:p>
            <w:r>
              <w:rPr>
                <w:rFonts w:ascii="Calibri" w:hAnsi="Calibri"/>
                <w:sz w:val="22"/>
              </w:rPr>
              <w:t>N/A</w:t>
            </w:r>
          </w:p>
        </w:tc>
      </w:tr>
    </w:tbl>
    <w:p>
      <w:pPr>
        <w:pStyle w:val="Heading3"/>
      </w:pPr>
      <w:r>
        <w:rPr>
          <w:rFonts w:ascii="Calibri" w:hAnsi="Calibri"/>
          <w:b/>
          <w:color w:val="3B4259"/>
          <w:sz w:val="24"/>
        </w:rPr>
        <w:t>8.4 Estée Lauder (EL) — Deutsche Bank Global Consumer Conference, June 2, 2026</w:t>
      </w:r>
    </w:p>
    <w:p>
      <w:r>
        <w:rPr>
          <w:rFonts w:ascii="Calibri" w:hAnsi="Calibri"/>
          <w:b/>
          <w:color w:val="525866"/>
          <w:sz w:val="22"/>
        </w:rPr>
        <w:t>Period Addressed:</w:t>
      </w:r>
      <w:r>
        <w:rPr>
          <w:rFonts w:ascii="Calibri" w:hAnsi="Calibri"/>
          <w:color w:val="525866"/>
          <w:sz w:val="22"/>
        </w:rPr>
        <w:t xml:space="preserve"> April–June 2026 (EL's fiscal Q4 ending June 30, 2026) and FY27 outlook. Source date: June 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EL Commentary</w:t>
            </w:r>
          </w:p>
        </w:tc>
        <w:tc>
          <w:tcPr>
            <w:tcW w:type="dxa" w:w="2160"/>
            <w:shd w:val="clear" w:color="auto" w:fill="3B4259"/>
          </w:tcPr>
          <w:p>
            <w:r>
              <w:rPr>
                <w:rFonts w:ascii="Calibri" w:hAnsi="Calibri"/>
                <w:b/>
                <w:color w:val="FFFFFF"/>
                <w:sz w:val="22"/>
              </w:rPr>
              <w:t>PG Read-Through</w:t>
            </w:r>
          </w:p>
        </w:tc>
        <w:tc>
          <w:tcPr>
            <w:tcW w:type="dxa" w:w="2160"/>
            <w:shd w:val="clear" w:color="auto" w:fill="3B4259"/>
          </w:tcPr>
          <w:p>
            <w:r>
              <w:rPr>
                <w:rFonts w:ascii="Calibri" w:hAnsi="Calibri"/>
                <w:b/>
                <w:color w:val="FFFFFF"/>
                <w:sz w:val="22"/>
              </w:rPr>
              <w:t>Signal Strength</w:t>
            </w:r>
          </w:p>
        </w:tc>
      </w:tr>
      <w:tr>
        <w:tc>
          <w:tcPr>
            <w:tcW w:type="dxa" w:w="2160"/>
          </w:tcPr>
          <w:p>
            <w:r>
              <w:rPr>
                <w:rFonts w:ascii="Calibri" w:hAnsi="Calibri"/>
                <w:sz w:val="22"/>
              </w:rPr>
              <w:t>China 6/18 Shopping Festival (Current Quarter)</w:t>
            </w:r>
          </w:p>
        </w:tc>
        <w:tc>
          <w:tcPr>
            <w:tcW w:type="dxa" w:w="2160"/>
          </w:tcPr>
          <w:p>
            <w:r>
              <w:rPr>
                <w:rFonts w:ascii="Calibri" w:hAnsi="Calibri"/>
                <w:sz w:val="22"/>
              </w:rPr>
              <w:t>CEO de la Faverie on June 2: "the momentum is strong for the time being" for the 6/18 shopping festival. Expressed excitement about "balance of the growth and the momentum that we are getting, which hopefully puts us again into market share gain into this quarter."</w:t>
            </w:r>
          </w:p>
        </w:tc>
        <w:tc>
          <w:tcPr>
            <w:tcW w:type="dxa" w:w="2160"/>
          </w:tcPr>
          <w:p>
            <w:r>
              <w:rPr>
                <w:rFonts w:ascii="Calibri" w:hAnsi="Calibri"/>
                <w:b/>
                <w:color w:val="30A46C"/>
                <w:sz w:val="22"/>
              </w:rPr>
              <w:t>Mildly positive for PG's China business. PG's Greater China grew +3% in Q3 with SK-II +18% and Pampers +19%. Strong 6/18 momentum for prestige beauty suggests the Chinese consumer is engaging with premium brands, which is positive for SK-II and PG's China trajectory.</w:t>
            </w:r>
          </w:p>
        </w:tc>
        <w:tc>
          <w:tcPr>
            <w:tcW w:type="dxa" w:w="2160"/>
          </w:tcPr>
          <w:p>
            <w:r>
              <w:rPr>
                <w:rFonts w:ascii="Calibri" w:hAnsi="Calibri"/>
                <w:sz w:val="22"/>
              </w:rPr>
              <w:t>Medium — SK-II is PG's primary prestige beauty brand in China; 6/18 is a key event</w:t>
            </w:r>
          </w:p>
        </w:tc>
      </w:tr>
      <w:tr>
        <w:tc>
          <w:tcPr>
            <w:tcW w:type="dxa" w:w="2160"/>
          </w:tcPr>
          <w:p>
            <w:r>
              <w:rPr>
                <w:rFonts w:ascii="Calibri" w:hAnsi="Calibri"/>
                <w:sz w:val="22"/>
              </w:rPr>
              <w:t>Supply Chain Resilience vs. Middle East</w:t>
            </w:r>
          </w:p>
        </w:tc>
        <w:tc>
          <w:tcPr>
            <w:tcW w:type="dxa" w:w="2160"/>
          </w:tcPr>
          <w:p>
            <w:r>
              <w:rPr>
                <w:rFonts w:ascii="Calibri" w:hAnsi="Calibri"/>
                <w:sz w:val="22"/>
              </w:rPr>
              <w:t>"The impact from the Middle East has been minimal for us because of how we've been using the agility and the speed of our value chain." Supply chain regionalization and agility allowed EL to confirm guidance despite Middle East disruption.</w:t>
            </w:r>
          </w:p>
        </w:tc>
        <w:tc>
          <w:tcPr>
            <w:tcW w:type="dxa" w:w="2160"/>
          </w:tcPr>
          <w:p>
            <w:r>
              <w:rPr>
                <w:rFonts w:ascii="Calibri" w:hAnsi="Calibri"/>
                <w:b/>
                <w:color w:val="30A46C"/>
                <w:sz w:val="22"/>
              </w:rPr>
              <w:t>Positive for PG's supply chain narrative. PG has similarly highlighted supply chain resilience (no stockouts on key materials). EL's confirmation that agile supply chains can mitigate Middle East impacts supports PG's claim that its ~$150M after-tax headwind is manageable and bounded.</w:t>
            </w:r>
          </w:p>
        </w:tc>
        <w:tc>
          <w:tcPr>
            <w:tcW w:type="dxa" w:w="2160"/>
          </w:tcPr>
          <w:p>
            <w:r>
              <w:rPr>
                <w:rFonts w:ascii="Calibri" w:hAnsi="Calibri"/>
                <w:sz w:val="22"/>
              </w:rPr>
              <w:t>Medium — both companies face similar Middle East supply chain risks</w:t>
            </w:r>
          </w:p>
        </w:tc>
      </w:tr>
      <w:tr>
        <w:tc>
          <w:tcPr>
            <w:tcW w:type="dxa" w:w="2160"/>
          </w:tcPr>
          <w:p>
            <w:r>
              <w:rPr>
                <w:rFonts w:ascii="Calibri" w:hAnsi="Calibri"/>
                <w:sz w:val="22"/>
              </w:rPr>
              <w:t>FY26 Top-Line Delivery (Fiscal Year Ending Jun 30, 2026)</w:t>
            </w:r>
          </w:p>
        </w:tc>
        <w:tc>
          <w:tcPr>
            <w:tcW w:type="dxa" w:w="2160"/>
          </w:tcPr>
          <w:p>
            <w:r>
              <w:rPr>
                <w:rFonts w:ascii="Calibri" w:hAnsi="Calibri"/>
                <w:sz w:val="22"/>
              </w:rPr>
              <w:t>"This year, we are going to deliver the top end of our guidance of 3%." Confirmed 3% growth for the fiscal year, translating to "slightly higher retail sales growth."</w:t>
            </w:r>
          </w:p>
        </w:tc>
        <w:tc>
          <w:tcPr>
            <w:tcW w:type="dxa" w:w="2160"/>
          </w:tcPr>
          <w:p>
            <w:r>
              <w:rPr>
                <w:rFonts w:ascii="Calibri" w:hAnsi="Calibri"/>
                <w:b/>
                <w:color w:val="30A46C"/>
                <w:sz w:val="22"/>
              </w:rPr>
              <w:t>Mildly positive for prestige beauty demand. EL's ability to deliver the top end of guidance in a challenging environment suggests premium beauty demand is holding up. PG's SK-II and Olay premium segments could benefit from similar dynamics.</w:t>
            </w:r>
          </w:p>
        </w:tc>
        <w:tc>
          <w:tcPr>
            <w:tcW w:type="dxa" w:w="2160"/>
          </w:tcPr>
          <w:p>
            <w:r>
              <w:rPr>
                <w:rFonts w:ascii="Calibri" w:hAnsi="Calibri"/>
                <w:sz w:val="22"/>
              </w:rPr>
              <w:t>Low-Medium — EL's prestige beauty is a different price tier from most PG beauty products</w:t>
            </w:r>
          </w:p>
        </w:tc>
      </w:tr>
      <w:tr>
        <w:tc>
          <w:tcPr>
            <w:tcW w:type="dxa" w:w="2160"/>
          </w:tcPr>
          <w:p>
            <w:r>
              <w:rPr>
                <w:rFonts w:ascii="Calibri" w:hAnsi="Calibri"/>
                <w:sz w:val="22"/>
              </w:rPr>
              <w:t>Innovation Driving 24–25% of Sales</w:t>
            </w:r>
          </w:p>
        </w:tc>
        <w:tc>
          <w:tcPr>
            <w:tcW w:type="dxa" w:w="2160"/>
          </w:tcPr>
          <w:p>
            <w:r>
              <w:rPr>
                <w:rFonts w:ascii="Calibri" w:hAnsi="Calibri"/>
                <w:sz w:val="22"/>
              </w:rPr>
              <w:t>"This year, we are going to deliver roughly 24%, 25% of our sales from innovation." Described as a "net acceleration" vs. prior periods.</w:t>
            </w:r>
          </w:p>
        </w:tc>
        <w:tc>
          <w:tcPr>
            <w:tcW w:type="dxa" w:w="2160"/>
          </w:tcPr>
          <w:p>
            <w:r>
              <w:rPr>
                <w:rFonts w:ascii="Calibri" w:hAnsi="Calibri"/>
                <w:b/>
                <w:color w:val="30A46C"/>
                <w:sz w:val="22"/>
              </w:rPr>
              <w:t>Positive for the innovation-led growth thesis. PG's strategy is similarly centered on innovation-based pricing and user growth. EL's success in driving a high proportion of sales from innovation validates the approach.</w:t>
            </w:r>
          </w:p>
        </w:tc>
        <w:tc>
          <w:tcPr>
            <w:tcW w:type="dxa" w:w="2160"/>
          </w:tcPr>
          <w:p>
            <w:r>
              <w:rPr>
                <w:rFonts w:ascii="Calibri" w:hAnsi="Calibri"/>
                <w:sz w:val="22"/>
              </w:rPr>
              <w:t>Low — EL's innovation cycle and categories differ significantly from PG</w:t>
            </w:r>
          </w:p>
        </w:tc>
      </w:tr>
      <w:tr>
        <w:tc>
          <w:tcPr>
            <w:tcW w:type="dxa" w:w="2160"/>
          </w:tcPr>
          <w:p>
            <w:r>
              <w:rPr>
                <w:rFonts w:ascii="Calibri" w:hAnsi="Calibri"/>
                <w:sz w:val="22"/>
              </w:rPr>
              <w:t>Read-Through Limits</w:t>
            </w:r>
          </w:p>
        </w:tc>
        <w:tc>
          <w:tcPr>
            <w:tcW w:type="dxa" w:w="2160"/>
          </w:tcPr>
          <w:p>
            <w:r>
              <w:rPr>
                <w:rFonts w:ascii="Calibri" w:hAnsi="Calibri"/>
                <w:sz w:val="22"/>
              </w:rPr>
              <w:t>EL is a prestige beauty company with no exposure to fabric care, baby care, grooming, or household products. Its China exposure is concentrated in SK-II and prestige skincare, which is a different consumer segment from PG's Pampers and Olay. EL's PRGP transformation is company-specific.</w:t>
            </w:r>
          </w:p>
        </w:tc>
        <w:tc>
          <w:tcPr>
            <w:tcW w:type="dxa" w:w="2160"/>
          </w:tcPr>
          <w:p>
            <w:r>
              <w:rPr>
                <w:rFonts w:ascii="Calibri" w:hAnsi="Calibri"/>
                <w:sz w:val="22"/>
              </w:rPr>
              <w:t>Scope limited to prestige beauty and China consumer sentiment. Most relevant for PG's SK-II brand.</w:t>
            </w:r>
          </w:p>
        </w:tc>
        <w:tc>
          <w:tcPr>
            <w:tcW w:type="dxa" w:w="2160"/>
          </w:tcPr>
          <w:p>
            <w:r>
              <w:rPr>
                <w:rFonts w:ascii="Calibri" w:hAnsi="Calibri"/>
                <w:sz w:val="22"/>
              </w:rPr>
              <w:t>N/A</w:t>
            </w:r>
          </w:p>
        </w:tc>
      </w:tr>
    </w:tbl>
    <w:p>
      <w:pPr>
        <w:pStyle w:val="Heading3"/>
      </w:pPr>
      <w:r>
        <w:rPr>
          <w:rFonts w:ascii="Calibri" w:hAnsi="Calibri"/>
          <w:b/>
          <w:color w:val="3B4259"/>
          <w:sz w:val="24"/>
        </w:rPr>
        <w:t>8.5 Unilever (ULVR) — Q2 2026 Earnings Call, July 28, 2026</w:t>
      </w:r>
    </w:p>
    <w:p>
      <w:r>
        <w:rPr>
          <w:rFonts w:ascii="Calibri" w:hAnsi="Calibri"/>
          <w:b/>
          <w:color w:val="525866"/>
          <w:sz w:val="22"/>
        </w:rPr>
        <w:t>Period Addressed:</w:t>
      </w:r>
      <w:r>
        <w:rPr>
          <w:rFonts w:ascii="Calibri" w:hAnsi="Calibri"/>
          <w:color w:val="525866"/>
          <w:sz w:val="22"/>
        </w:rPr>
        <w:t xml:space="preserve"> April–June 2026 (Q2 2026 actuals) and H2 2026 outlook. Source date: July 28, 2026 (same day as this report).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Unilever Commentary</w:t>
            </w:r>
          </w:p>
        </w:tc>
        <w:tc>
          <w:tcPr>
            <w:tcW w:type="dxa" w:w="2160"/>
            <w:shd w:val="clear" w:color="auto" w:fill="3B4259"/>
          </w:tcPr>
          <w:p>
            <w:r>
              <w:rPr>
                <w:rFonts w:ascii="Calibri" w:hAnsi="Calibri"/>
                <w:b/>
                <w:color w:val="FFFFFF"/>
                <w:sz w:val="22"/>
              </w:rPr>
              <w:t>PG Read-Through</w:t>
            </w:r>
          </w:p>
        </w:tc>
        <w:tc>
          <w:tcPr>
            <w:tcW w:type="dxa" w:w="2160"/>
            <w:shd w:val="clear" w:color="auto" w:fill="3B4259"/>
          </w:tcPr>
          <w:p>
            <w:r>
              <w:rPr>
                <w:rFonts w:ascii="Calibri" w:hAnsi="Calibri"/>
                <w:b/>
                <w:color w:val="FFFFFF"/>
                <w:sz w:val="22"/>
              </w:rPr>
              <w:t>Signal Strength</w:t>
            </w:r>
          </w:p>
        </w:tc>
      </w:tr>
      <w:tr>
        <w:tc>
          <w:tcPr>
            <w:tcW w:type="dxa" w:w="2160"/>
          </w:tcPr>
          <w:p>
            <w:r>
              <w:rPr>
                <w:rFonts w:ascii="Calibri" w:hAnsi="Calibri"/>
                <w:sz w:val="22"/>
              </w:rPr>
              <w:t>Global Volume Growth: Best Since 2010 (Q2 2026)</w:t>
            </w:r>
          </w:p>
        </w:tc>
        <w:tc>
          <w:tcPr>
            <w:tcW w:type="dxa" w:w="2160"/>
          </w:tcPr>
          <w:p>
            <w:r>
              <w:rPr>
                <w:rFonts w:ascii="Calibri" w:hAnsi="Calibri"/>
                <w:sz w:val="22"/>
              </w:rPr>
              <w:t>Q2 underlying sales growth +5.8%, volume +5.5% — best quarterly volume since 2010. H1 2026 volume growth averaged 4.2%. Broad-based across categories and geographies. Home care fastest-growing at +8.1% USG / +8.6% volume. Personal care +5.9% USG / +6.8% volume.</w:t>
            </w:r>
          </w:p>
        </w:tc>
        <w:tc>
          <w:tcPr>
            <w:tcW w:type="dxa" w:w="2160"/>
          </w:tcPr>
          <w:p>
            <w:r>
              <w:rPr>
                <w:rFonts w:ascii="Calibri" w:hAnsi="Calibri"/>
                <w:b/>
                <w:color w:val="30A46C"/>
                <w:sz w:val="22"/>
              </w:rPr>
              <w:t>Positive. Unilever's volume-led beat is the strongest positive read-through for PG's Q4. Both companies compete in home care and personal care globally. If Unilever is seeing +8.6% volume in home care and +6.8% in personal care, PG's Fabric Care, Home Care, and Personal Care segments could also be benefiting from similar category tailwinds.</w:t>
            </w:r>
          </w:p>
        </w:tc>
        <w:tc>
          <w:tcPr>
            <w:tcW w:type="dxa" w:w="2160"/>
          </w:tcPr>
          <w:p>
            <w:r>
              <w:rPr>
                <w:rFonts w:ascii="Calibri" w:hAnsi="Calibri"/>
                <w:sz w:val="22"/>
              </w:rPr>
              <w:t>High — Unilever is PG's closest global peer; direct category overlap in home care, personal care, beauty</w:t>
            </w:r>
          </w:p>
        </w:tc>
      </w:tr>
      <w:tr>
        <w:tc>
          <w:tcPr>
            <w:tcW w:type="dxa" w:w="2160"/>
          </w:tcPr>
          <w:p>
            <w:r>
              <w:rPr>
                <w:rFonts w:ascii="Calibri" w:hAnsi="Calibri"/>
                <w:sz w:val="22"/>
              </w:rPr>
              <w:t>North America: Outperforming Market (Q2 2026)</w:t>
            </w:r>
          </w:p>
        </w:tc>
        <w:tc>
          <w:tcPr>
            <w:tcW w:type="dxa" w:w="2160"/>
          </w:tcPr>
          <w:p>
            <w:r>
              <w:rPr>
                <w:rFonts w:ascii="Calibri" w:hAnsi="Calibri"/>
                <w:sz w:val="22"/>
              </w:rPr>
              <w:t>North America Q2 growth +2.6% with volume +4.4%. Gained value and volume share. Regained market leadership in deodorants with Dove. Lower-income segment "remains pressured." Destocking from retailers "not material at the company level."</w:t>
            </w:r>
          </w:p>
        </w:tc>
        <w:tc>
          <w:tcPr>
            <w:tcW w:type="dxa" w:w="2160"/>
          </w:tcPr>
          <w:p>
            <w:r>
              <w:rPr>
                <w:rFonts w:ascii="Calibri" w:hAnsi="Calibri"/>
                <w:b/>
                <w:color w:val="30A46C"/>
                <w:sz w:val="22"/>
              </w:rPr>
              <w:t>Mildly positive. Unilever's North America volume growth of +4.4% is encouraging for PG's North America segment, which turned positive in Q3 FY26 (+3 pts volume). The "lower-income pressured" comment is consistent with PG's K-shaped consumer narrative. Retailer destocking being "not material" is a mild positive.</w:t>
            </w:r>
          </w:p>
        </w:tc>
        <w:tc>
          <w:tcPr>
            <w:tcW w:type="dxa" w:w="2160"/>
          </w:tcPr>
          <w:p>
            <w:r>
              <w:rPr>
                <w:rFonts w:ascii="Calibri" w:hAnsi="Calibri"/>
                <w:sz w:val="22"/>
              </w:rPr>
              <w:t>High — direct geographic overlap; both compete in North America personal care and home care</w:t>
            </w:r>
          </w:p>
        </w:tc>
      </w:tr>
      <w:tr>
        <w:tc>
          <w:tcPr>
            <w:tcW w:type="dxa" w:w="2160"/>
          </w:tcPr>
          <w:p>
            <w:r>
              <w:rPr>
                <w:rFonts w:ascii="Calibri" w:hAnsi="Calibri"/>
                <w:sz w:val="22"/>
              </w:rPr>
              <w:t>Emerging Markets: Strong Volume-Led Growth (Q2 2026)</w:t>
            </w:r>
          </w:p>
        </w:tc>
        <w:tc>
          <w:tcPr>
            <w:tcW w:type="dxa" w:w="2160"/>
          </w:tcPr>
          <w:p>
            <w:r>
              <w:rPr>
                <w:rFonts w:ascii="Calibri" w:hAnsi="Calibri"/>
                <w:sz w:val="22"/>
              </w:rPr>
              <w:t>Emerging markets +8.3% in Q2 with +7.4% volume. India +10% (balanced volume/price). China mid-single digit led by beauty &amp; wellbeing. Latin America +7.9% / +8.8% volume in Q2. Indonesia +7%.</w:t>
            </w:r>
          </w:p>
        </w:tc>
        <w:tc>
          <w:tcPr>
            <w:tcW w:type="dxa" w:w="2160"/>
          </w:tcPr>
          <w:p>
            <w:r>
              <w:rPr>
                <w:rFonts w:ascii="Calibri" w:hAnsi="Calibri"/>
                <w:b/>
                <w:color w:val="30A46C"/>
                <w:sz w:val="22"/>
              </w:rPr>
              <w:t>Positive. PG's enterprise markets (Latin America, AMEA) have been strong. Unilever's confirmation of robust emerging market volume growth supports the view that PG's enterprise market momentum can continue in Q4.</w:t>
            </w:r>
          </w:p>
        </w:tc>
        <w:tc>
          <w:tcPr>
            <w:tcW w:type="dxa" w:w="2160"/>
          </w:tcPr>
          <w:p>
            <w:r>
              <w:rPr>
                <w:rFonts w:ascii="Calibri" w:hAnsi="Calibri"/>
                <w:sz w:val="22"/>
              </w:rPr>
              <w:t>High — both companies have significant emerging market exposure</w:t>
            </w:r>
          </w:p>
        </w:tc>
      </w:tr>
      <w:tr>
        <w:tc>
          <w:tcPr>
            <w:tcW w:type="dxa" w:w="2160"/>
          </w:tcPr>
          <w:p>
            <w:r>
              <w:rPr>
                <w:rFonts w:ascii="Calibri" w:hAnsi="Calibri"/>
                <w:sz w:val="22"/>
              </w:rPr>
              <w:t>Middle East Cost Headwind: ~€850M Full-Year Commodity Inflation</w:t>
            </w:r>
          </w:p>
        </w:tc>
        <w:tc>
          <w:tcPr>
            <w:tcW w:type="dxa" w:w="2160"/>
          </w:tcPr>
          <w:p>
            <w:r>
              <w:rPr>
                <w:rFonts w:ascii="Calibri" w:hAnsi="Calibri"/>
                <w:sz w:val="22"/>
              </w:rPr>
              <w:t>Full-year commodity inflation ~€850M (€800–900M range). ~€300M in H1, ~€550M in H2. Concentrated in home care (70% from emerging markets). Gross margins in H2 expected at similar levels to H1 (~46.8%) despite higher inflation, offset by pricing.</w:t>
            </w:r>
          </w:p>
        </w:tc>
        <w:tc>
          <w:tcPr>
            <w:tcW w:type="dxa" w:w="2160"/>
          </w:tcPr>
          <w:p>
            <w:r>
              <w:rPr>
                <w:rFonts w:ascii="Calibri" w:hAnsi="Calibri"/>
                <w:b/>
                <w:color w:val="E5484D"/>
                <w:sz w:val="22"/>
              </w:rPr>
              <w:t>Negative confirmation. Unilever's H2-weighted cost headwind mirrors PG's Q4-concentrated ~$150M after-tax headwind. The fact that Unilever is managing it through pricing (H2 pricing-led growth) while PG is managing it through productivity and selective innovation pricing suggests both approaches are viable but margin pressure is real.</w:t>
            </w:r>
          </w:p>
        </w:tc>
        <w:tc>
          <w:tcPr>
            <w:tcW w:type="dxa" w:w="2160"/>
          </w:tcPr>
          <w:p>
            <w:r>
              <w:rPr>
                <w:rFonts w:ascii="Calibri" w:hAnsi="Calibri"/>
                <w:sz w:val="22"/>
              </w:rPr>
              <w:t>High — both companies face similar Middle East commodity feedstock exposures</w:t>
            </w:r>
          </w:p>
        </w:tc>
      </w:tr>
      <w:tr>
        <w:tc>
          <w:tcPr>
            <w:tcW w:type="dxa" w:w="2160"/>
          </w:tcPr>
          <w:p>
            <w:r>
              <w:rPr>
                <w:rFonts w:ascii="Calibri" w:hAnsi="Calibri"/>
                <w:sz w:val="22"/>
              </w:rPr>
              <w:t>H2 2026 Outlook: Pricing to Lead, Volume Sensitivity Expected</w:t>
            </w:r>
          </w:p>
        </w:tc>
        <w:tc>
          <w:tcPr>
            <w:tcW w:type="dxa" w:w="2160"/>
          </w:tcPr>
          <w:p>
            <w:r>
              <w:rPr>
                <w:rFonts w:ascii="Calibri" w:hAnsi="Calibri"/>
                <w:sz w:val="22"/>
              </w:rPr>
              <w:t>H2 growth expected 4–5%, led by pricing. "Anticipate some volume sensitivities as pricing lands." Full-year upgraded to within 4–6% multi-year range. Brazil tax reforms could cause temporary retail stock reductions in Q4.</w:t>
            </w:r>
          </w:p>
        </w:tc>
        <w:tc>
          <w:tcPr>
            <w:tcW w:type="dxa" w:w="2160"/>
          </w:tcPr>
          <w:p>
            <w:r>
              <w:rPr>
                <w:rFonts w:ascii="Calibri" w:hAnsi="Calibri"/>
                <w:b/>
                <w:color w:val="E5484D"/>
                <w:sz w:val="22"/>
              </w:rPr>
              <w:t>Neutral. Unilever's H2 pricing-led growth with expected volume sensitivity is a different dynamic from PG's Q4 (which is more about cost absorption than pricing). The Brazil destocking risk is Unilever-specific.</w:t>
            </w:r>
          </w:p>
        </w:tc>
        <w:tc>
          <w:tcPr>
            <w:tcW w:type="dxa" w:w="2160"/>
          </w:tcPr>
          <w:p>
            <w:r>
              <w:rPr>
                <w:rFonts w:ascii="Calibri" w:hAnsi="Calibri"/>
                <w:sz w:val="22"/>
              </w:rPr>
              <w:t>Medium — H2 pricing dynamics differ between the two companies</w:t>
            </w:r>
          </w:p>
        </w:tc>
      </w:tr>
      <w:tr>
        <w:tc>
          <w:tcPr>
            <w:tcW w:type="dxa" w:w="2160"/>
          </w:tcPr>
          <w:p>
            <w:r>
              <w:rPr>
                <w:rFonts w:ascii="Calibri" w:hAnsi="Calibri"/>
                <w:sz w:val="22"/>
              </w:rPr>
              <w:t>Read-Through Limits</w:t>
            </w:r>
          </w:p>
        </w:tc>
        <w:tc>
          <w:tcPr>
            <w:tcW w:type="dxa" w:w="2160"/>
          </w:tcPr>
          <w:p>
            <w:r>
              <w:rPr>
                <w:rFonts w:ascii="Calibri" w:hAnsi="Calibri"/>
                <w:sz w:val="22"/>
              </w:rPr>
              <w:t>Unilever's Q2 benefited from FIFA World Cup activation (company-specific promotional event) and Amazon Prime Day timing for Liquid IV (~20 bps benefit). These are not applicable to PG. Unilever's Foods business (condiments, etc.) has no PG equivalent. Brazil tax reform destocking is Unilever-specific.</w:t>
            </w:r>
          </w:p>
        </w:tc>
        <w:tc>
          <w:tcPr>
            <w:tcW w:type="dxa" w:w="2160"/>
          </w:tcPr>
          <w:p>
            <w:r>
              <w:rPr>
                <w:rFonts w:ascii="Calibri" w:hAnsi="Calibri"/>
                <w:sz w:val="22"/>
              </w:rPr>
              <w:t>FIFA World Cup and Liquid IV timing effects should be stripped from the volume read-through. The underlying volume trend ex-these items is still strong but somewhat lower than the headline +5.5%.</w:t>
            </w:r>
          </w:p>
        </w:tc>
        <w:tc>
          <w:tcPr>
            <w:tcW w:type="dxa" w:w="2160"/>
          </w:tcPr>
          <w:p>
            <w:r>
              <w:rPr>
                <w:rFonts w:ascii="Calibri" w:hAnsi="Calibri"/>
                <w:sz w:val="22"/>
              </w:rPr>
              <w:t>N/A</w:t>
            </w:r>
          </w:p>
        </w:tc>
      </w:tr>
    </w:tbl>
    <w:p>
      <w:pPr>
        <w:pStyle w:val="Heading3"/>
      </w:pPr>
      <w:r>
        <w:rPr>
          <w:rFonts w:ascii="Calibri" w:hAnsi="Calibri"/>
          <w:b/>
          <w:color w:val="3B4259"/>
          <w:sz w:val="24"/>
        </w:rPr>
        <w:t>8.6 Coca-Cola (KO) — Q2 2026 Earnings Call, July 28, 2026</w:t>
      </w:r>
    </w:p>
    <w:p>
      <w:r>
        <w:rPr>
          <w:rFonts w:ascii="Calibri" w:hAnsi="Calibri"/>
          <w:b/>
          <w:color w:val="525866"/>
          <w:sz w:val="22"/>
        </w:rPr>
        <w:t>Period Addressed:</w:t>
      </w:r>
      <w:r>
        <w:rPr>
          <w:rFonts w:ascii="Calibri" w:hAnsi="Calibri"/>
          <w:color w:val="525866"/>
          <w:sz w:val="22"/>
        </w:rPr>
        <w:t xml:space="preserve"> April–June 2026 (Q2 2026 actuals) and full-year 2026 outlook. Source date: July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KO Commentary</w:t>
            </w:r>
          </w:p>
        </w:tc>
        <w:tc>
          <w:tcPr>
            <w:tcW w:type="dxa" w:w="2160"/>
            <w:shd w:val="clear" w:color="auto" w:fill="3B4259"/>
          </w:tcPr>
          <w:p>
            <w:r>
              <w:rPr>
                <w:rFonts w:ascii="Calibri" w:hAnsi="Calibri"/>
                <w:b/>
                <w:color w:val="FFFFFF"/>
                <w:sz w:val="22"/>
              </w:rPr>
              <w:t>PG Read-Through</w:t>
            </w:r>
          </w:p>
        </w:tc>
        <w:tc>
          <w:tcPr>
            <w:tcW w:type="dxa" w:w="2160"/>
            <w:shd w:val="clear" w:color="auto" w:fill="3B4259"/>
          </w:tcPr>
          <w:p>
            <w:r>
              <w:rPr>
                <w:rFonts w:ascii="Calibri" w:hAnsi="Calibri"/>
                <w:b/>
                <w:color w:val="FFFFFF"/>
                <w:sz w:val="22"/>
              </w:rPr>
              <w:t>Signal Strength</w:t>
            </w:r>
          </w:p>
        </w:tc>
      </w:tr>
      <w:tr>
        <w:tc>
          <w:tcPr>
            <w:tcW w:type="dxa" w:w="2160"/>
          </w:tcPr>
          <w:p>
            <w:r>
              <w:rPr>
                <w:rFonts w:ascii="Calibri" w:hAnsi="Calibri"/>
                <w:sz w:val="22"/>
              </w:rPr>
              <w:t>Global Volume Growth +5% (Q2 2026)</w:t>
            </w:r>
          </w:p>
        </w:tc>
        <w:tc>
          <w:tcPr>
            <w:tcW w:type="dxa" w:w="2160"/>
          </w:tcPr>
          <w:p>
            <w:r>
              <w:rPr>
                <w:rFonts w:ascii="Calibri" w:hAnsi="Calibri"/>
                <w:sz w:val="22"/>
              </w:rPr>
              <w:t>Organic revenue +6%, unit case volume +5%. North America volume +3%. Raised full-year organic sales guidance to 5% (from 4–5%). EPS +11% to $0.97 vs. $0.93 est. Comparable gross margin +120 bps, operating margin +90 bps.</w:t>
            </w:r>
          </w:p>
        </w:tc>
        <w:tc>
          <w:tcPr>
            <w:tcW w:type="dxa" w:w="2160"/>
          </w:tcPr>
          <w:p>
            <w:r>
              <w:rPr>
                <w:rFonts w:ascii="Calibri" w:hAnsi="Calibri"/>
                <w:b/>
                <w:color w:val="30A46C"/>
                <w:sz w:val="22"/>
              </w:rPr>
              <w:t>Mildly positive. KO's strong volume growth and margin expansion in Q2 is a positive signal for branded consumer goods broadly. However, KO's categories (beverages) are quite different from PG's, and the FIFA World Cup was a significant company-specific tailwind. The North America volume +3% is the most relevant read-through.</w:t>
            </w:r>
          </w:p>
        </w:tc>
        <w:tc>
          <w:tcPr>
            <w:tcW w:type="dxa" w:w="2160"/>
          </w:tcPr>
          <w:p>
            <w:r>
              <w:rPr>
                <w:rFonts w:ascii="Calibri" w:hAnsi="Calibri"/>
                <w:sz w:val="22"/>
              </w:rPr>
              <w:t>Low-Medium — KO's beverage categories differ significantly from PG's household/personal care</w:t>
            </w:r>
          </w:p>
        </w:tc>
      </w:tr>
      <w:tr>
        <w:tc>
          <w:tcPr>
            <w:tcW w:type="dxa" w:w="2160"/>
          </w:tcPr>
          <w:p>
            <w:r>
              <w:rPr>
                <w:rFonts w:ascii="Calibri" w:hAnsi="Calibri"/>
                <w:sz w:val="22"/>
              </w:rPr>
              <w:t>"Uneven Consumer Environment" Globally</w:t>
            </w:r>
          </w:p>
        </w:tc>
        <w:tc>
          <w:tcPr>
            <w:tcW w:type="dxa" w:w="2160"/>
          </w:tcPr>
          <w:p>
            <w:r>
              <w:rPr>
                <w:rFonts w:ascii="Calibri" w:hAnsi="Calibri"/>
                <w:sz w:val="22"/>
              </w:rPr>
              <w:t>"We see an uneven consumer environment." U.S. and Europe "stable in aggregate, but many remain under pressure." China "sentiment remains cautious and spending continues to be selected." Lower-income segment "continues to be pressured" globally. Latin America "mixed" with improvements in Brazil/Central America but pressure in Mexico.</w:t>
            </w:r>
          </w:p>
        </w:tc>
        <w:tc>
          <w:tcPr>
            <w:tcW w:type="dxa" w:w="2160"/>
          </w:tcPr>
          <w:p>
            <w:r>
              <w:rPr>
                <w:rFonts w:ascii="Calibri" w:hAnsi="Calibri"/>
                <w:b/>
                <w:color w:val="E5484D"/>
                <w:sz w:val="22"/>
              </w:rPr>
              <w:t>Consistent with PG's own consumer assessment. The "uneven" characterization mirrors PG CFO's June 3 comments on U.S. consumer softness and China macro challenges. The geographic nuance (Brazil improving, Mexico pressured) is relevant for PG's Latin America segment.</w:t>
            </w:r>
          </w:p>
        </w:tc>
        <w:tc>
          <w:tcPr>
            <w:tcW w:type="dxa" w:w="2160"/>
          </w:tcPr>
          <w:p>
            <w:r>
              <w:rPr>
                <w:rFonts w:ascii="Calibri" w:hAnsi="Calibri"/>
                <w:sz w:val="22"/>
              </w:rPr>
              <w:t>Medium — global consumer sentiment read-through is broadly applicable</w:t>
            </w:r>
          </w:p>
        </w:tc>
      </w:tr>
      <w:tr>
        <w:tc>
          <w:tcPr>
            <w:tcW w:type="dxa" w:w="2160"/>
          </w:tcPr>
          <w:p>
            <w:r>
              <w:rPr>
                <w:rFonts w:ascii="Calibri" w:hAnsi="Calibri"/>
                <w:sz w:val="22"/>
              </w:rPr>
              <w:t>Value vs. Premium: "About Value, Not Only Pricing"</w:t>
            </w:r>
          </w:p>
        </w:tc>
        <w:tc>
          <w:tcPr>
            <w:tcW w:type="dxa" w:w="2160"/>
          </w:tcPr>
          <w:p>
            <w:r>
              <w:rPr>
                <w:rFonts w:ascii="Calibri" w:hAnsi="Calibri"/>
                <w:sz w:val="22"/>
              </w:rPr>
              <w:t>"It's really about value, not only pricing." Ensuring brands are "valued, relevant, and worth choosing" through different packaging formats and price points. Mini cans at lowest entry price in convenience stores; multi-packs for premium. RGM toolkit "played to the fullest."</w:t>
            </w:r>
          </w:p>
        </w:tc>
        <w:tc>
          <w:tcPr>
            <w:tcW w:type="dxa" w:w="2160"/>
          </w:tcPr>
          <w:p>
            <w:r>
              <w:rPr>
                <w:rFonts w:ascii="Calibri" w:hAnsi="Calibri"/>
                <w:b/>
                <w:color w:val="30A46C"/>
                <w:sz w:val="22"/>
              </w:rPr>
              <w:t>Positive alignment with PG's strategy. PG has similarly emphasized innovation-linked pricing and value-tier offerings. KO's success with this approach (margin expansion while growing volume) validates the strategy and suggests it can work for PG as well.</w:t>
            </w:r>
          </w:p>
        </w:tc>
        <w:tc>
          <w:tcPr>
            <w:tcW w:type="dxa" w:w="2160"/>
          </w:tcPr>
          <w:p>
            <w:r>
              <w:rPr>
                <w:rFonts w:ascii="Calibri" w:hAnsi="Calibri"/>
                <w:sz w:val="22"/>
              </w:rPr>
              <w:t>Medium — RGM strategy is broadly applicable across CPG</w:t>
            </w:r>
          </w:p>
        </w:tc>
      </w:tr>
      <w:tr>
        <w:tc>
          <w:tcPr>
            <w:tcW w:type="dxa" w:w="2160"/>
          </w:tcPr>
          <w:p>
            <w:r>
              <w:rPr>
                <w:rFonts w:ascii="Calibri" w:hAnsi="Calibri"/>
                <w:sz w:val="22"/>
              </w:rPr>
              <w:t>Commodity Costs: "Overall Impact Manageable"</w:t>
            </w:r>
          </w:p>
        </w:tc>
        <w:tc>
          <w:tcPr>
            <w:tcW w:type="dxa" w:w="2160"/>
          </w:tcPr>
          <w:p>
            <w:r>
              <w:rPr>
                <w:rFonts w:ascii="Calibri" w:hAnsi="Calibri"/>
                <w:sz w:val="22"/>
              </w:rPr>
              <w:t>"We continue to believe the overall impact of our cost baskets to be manageable." Middle East geopolitical conflicts "continued to disrupt the region" but KO combined global scale with local flexibility to maintain margins. Gross margin +120 bps despite disruption.</w:t>
            </w:r>
          </w:p>
        </w:tc>
        <w:tc>
          <w:tcPr>
            <w:tcW w:type="dxa" w:w="2160"/>
          </w:tcPr>
          <w:p>
            <w:r>
              <w:rPr>
                <w:rFonts w:ascii="Calibri" w:hAnsi="Calibri"/>
                <w:b/>
                <w:color w:val="30A46C"/>
                <w:sz w:val="22"/>
              </w:rPr>
              <w:t>Mildly positive for PG's cost narrative. KO's ability to expand gross margins despite Middle East disruption suggests that large, well-hedged CPG companies can manage these costs. However, KO's commodity basket (sugar, aluminum, PET) differs from PG's (surfactants, polyethylene, polypropylene, perfumes).</w:t>
            </w:r>
          </w:p>
        </w:tc>
        <w:tc>
          <w:tcPr>
            <w:tcW w:type="dxa" w:w="2160"/>
          </w:tcPr>
          <w:p>
            <w:r>
              <w:rPr>
                <w:rFonts w:ascii="Calibri" w:hAnsi="Calibri"/>
                <w:sz w:val="22"/>
              </w:rPr>
              <w:t>Low-Medium — commodity baskets differ; KO's Middle East exposure is primarily logistics/aluminum</w:t>
            </w:r>
          </w:p>
        </w:tc>
      </w:tr>
      <w:tr>
        <w:tc>
          <w:tcPr>
            <w:tcW w:type="dxa" w:w="2160"/>
          </w:tcPr>
          <w:p>
            <w:r>
              <w:rPr>
                <w:rFonts w:ascii="Calibri" w:hAnsi="Calibri"/>
                <w:sz w:val="22"/>
              </w:rPr>
              <w:t>Read-Through Limits</w:t>
            </w:r>
          </w:p>
        </w:tc>
        <w:tc>
          <w:tcPr>
            <w:tcW w:type="dxa" w:w="2160"/>
          </w:tcPr>
          <w:p>
            <w:r>
              <w:rPr>
                <w:rFonts w:ascii="Calibri" w:hAnsi="Calibri"/>
                <w:sz w:val="22"/>
              </w:rPr>
              <w:t>FIFA World Cup was a massive company-specific tailwind for KO (trademark Coca-Cola volume +5%, strongest in 17 years ex-COVID). Fairlife ransomware attack (production suspended Jul 17, resumed majority by Jul 27) is KO-specific. KO's concentrate sales model and bottler network differ fundamentally from PG's integrated manufacturing.</w:t>
            </w:r>
          </w:p>
        </w:tc>
        <w:tc>
          <w:tcPr>
            <w:tcW w:type="dxa" w:w="2160"/>
          </w:tcPr>
          <w:p>
            <w:r>
              <w:rPr>
                <w:rFonts w:ascii="Calibri" w:hAnsi="Calibri"/>
                <w:sz w:val="22"/>
              </w:rPr>
              <w:t>FIFA World Cup effect should be stripped from volume read-through. The underlying consumer demand signal is positive but more modest than the headline +5% volume suggests.</w:t>
            </w:r>
          </w:p>
        </w:tc>
        <w:tc>
          <w:tcPr>
            <w:tcW w:type="dxa" w:w="2160"/>
          </w:tcPr>
          <w:p>
            <w:r>
              <w:rPr>
                <w:rFonts w:ascii="Calibri" w:hAnsi="Calibri"/>
                <w:sz w:val="22"/>
              </w:rPr>
              <w:t>N/A</w:t>
            </w:r>
          </w:p>
        </w:tc>
      </w:tr>
    </w:tbl>
    <w:p>
      <w:pPr>
        <w:pStyle w:val="Heading3"/>
      </w:pPr>
      <w:r>
        <w:rPr>
          <w:rFonts w:ascii="Calibri" w:hAnsi="Calibri"/>
          <w:b/>
          <w:color w:val="3B4259"/>
          <w:sz w:val="24"/>
        </w:rPr>
        <w:t>8.7 Mondelez International (MDLZ) — Q2 2026 Earnings Call, July 28, 2026</w:t>
      </w:r>
    </w:p>
    <w:p>
      <w:r>
        <w:rPr>
          <w:rFonts w:ascii="Calibri" w:hAnsi="Calibri"/>
          <w:b/>
          <w:color w:val="525866"/>
          <w:sz w:val="22"/>
        </w:rPr>
        <w:t>Period Addressed:</w:t>
      </w:r>
      <w:r>
        <w:rPr>
          <w:rFonts w:ascii="Calibri" w:hAnsi="Calibri"/>
          <w:color w:val="525866"/>
          <w:sz w:val="22"/>
        </w:rPr>
        <w:t xml:space="preserve"> April–June 2026 (Q2 2026 actuals) and H2 2026 outlook. Source date: July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MDLZ Commentary</w:t>
            </w:r>
          </w:p>
        </w:tc>
        <w:tc>
          <w:tcPr>
            <w:tcW w:type="dxa" w:w="2160"/>
            <w:shd w:val="clear" w:color="auto" w:fill="3B4259"/>
          </w:tcPr>
          <w:p>
            <w:r>
              <w:rPr>
                <w:rFonts w:ascii="Calibri" w:hAnsi="Calibri"/>
                <w:b/>
                <w:color w:val="FFFFFF"/>
                <w:sz w:val="22"/>
              </w:rPr>
              <w:t>PG Read-Through</w:t>
            </w:r>
          </w:p>
        </w:tc>
        <w:tc>
          <w:tcPr>
            <w:tcW w:type="dxa" w:w="2160"/>
            <w:shd w:val="clear" w:color="auto" w:fill="3B4259"/>
          </w:tcPr>
          <w:p>
            <w:r>
              <w:rPr>
                <w:rFonts w:ascii="Calibri" w:hAnsi="Calibri"/>
                <w:b/>
                <w:color w:val="FFFFFF"/>
                <w:sz w:val="22"/>
              </w:rPr>
              <w:t>Signal Strength</w:t>
            </w:r>
          </w:p>
        </w:tc>
      </w:tr>
      <w:tr>
        <w:tc>
          <w:tcPr>
            <w:tcW w:type="dxa" w:w="2160"/>
          </w:tcPr>
          <w:p>
            <w:r>
              <w:rPr>
                <w:rFonts w:ascii="Calibri" w:hAnsi="Calibri"/>
                <w:sz w:val="22"/>
              </w:rPr>
              <w:t>North America: Positive Volume Mix, Accelerating Sequentially</w:t>
            </w:r>
          </w:p>
        </w:tc>
        <w:tc>
          <w:tcPr>
            <w:tcW w:type="dxa" w:w="2160"/>
          </w:tcPr>
          <w:p>
            <w:r>
              <w:rPr>
                <w:rFonts w:ascii="Calibri" w:hAnsi="Calibri"/>
                <w:sz w:val="22"/>
              </w:rPr>
              <w:t>"Strong net revenue growth" and "positive volume mix" in North America, "both positive and accelerating sequentially versus Q1." Gained share in all North America categories. "Very strong growth in the value channel high single digit" and "mid-single digit growth in away from home." Expects "very strong second half in North America."</w:t>
            </w:r>
          </w:p>
        </w:tc>
        <w:tc>
          <w:tcPr>
            <w:tcW w:type="dxa" w:w="2160"/>
          </w:tcPr>
          <w:p>
            <w:r>
              <w:rPr>
                <w:rFonts w:ascii="Calibri" w:hAnsi="Calibri"/>
                <w:b/>
                <w:color w:val="30A46C"/>
                <w:sz w:val="22"/>
              </w:rPr>
              <w:t>Positive. MDLZ's sequential acceleration in North America volume is the most encouraging read-through for PG's Q4. If snacking categories are accelerating, household and personal care categories (which are more essential) should be at least stable. The value channel strength is consistent with PG's K-shaped consumer narrative.</w:t>
            </w:r>
          </w:p>
        </w:tc>
        <w:tc>
          <w:tcPr>
            <w:tcW w:type="dxa" w:w="2160"/>
          </w:tcPr>
          <w:p>
            <w:r>
              <w:rPr>
                <w:rFonts w:ascii="Calibri" w:hAnsi="Calibri"/>
                <w:sz w:val="22"/>
              </w:rPr>
              <w:t>Medium — MDLZ's snacking categories differ from PG's but North America consumer behavior is broadly applicable</w:t>
            </w:r>
          </w:p>
        </w:tc>
      </w:tr>
      <w:tr>
        <w:tc>
          <w:tcPr>
            <w:tcW w:type="dxa" w:w="2160"/>
          </w:tcPr>
          <w:p>
            <w:r>
              <w:rPr>
                <w:rFonts w:ascii="Calibri" w:hAnsi="Calibri"/>
                <w:sz w:val="22"/>
              </w:rPr>
              <w:t>U.S. Consumer: Confidence "Very Subdued" Despite Rebound</w:t>
            </w:r>
          </w:p>
        </w:tc>
        <w:tc>
          <w:tcPr>
            <w:tcW w:type="dxa" w:w="2160"/>
          </w:tcPr>
          <w:p>
            <w:r>
              <w:rPr>
                <w:rFonts w:ascii="Calibri" w:hAnsi="Calibri"/>
                <w:sz w:val="22"/>
              </w:rPr>
              <w:t>"Consumer confidence in North America has rebounded from lows. But it remains very subdued." "Still inflation. There's energy prices that continue to put pressure." "Consumers remain very concerned about affordability, the economic outlook and job security." "Case-shaped growth" with value formats and premium both doing well.</w:t>
            </w:r>
          </w:p>
        </w:tc>
        <w:tc>
          <w:tcPr>
            <w:tcW w:type="dxa" w:w="2160"/>
          </w:tcPr>
          <w:p>
            <w:r>
              <w:rPr>
                <w:rFonts w:ascii="Calibri" w:hAnsi="Calibri"/>
                <w:b/>
                <w:color w:val="E5484D"/>
                <w:sz w:val="22"/>
              </w:rPr>
              <w:t>Consistent with PG's consumer assessment. The "case-shaped" (K-shaped) growth dynamic mirrors PG's own characterization. The "very subdued" confidence despite a rebound from lows is consistent with PG CFO's June 3 comments on softening U.S. trends.</w:t>
            </w:r>
          </w:p>
        </w:tc>
        <w:tc>
          <w:tcPr>
            <w:tcW w:type="dxa" w:w="2160"/>
          </w:tcPr>
          <w:p>
            <w:r>
              <w:rPr>
                <w:rFonts w:ascii="Calibri" w:hAnsi="Calibri"/>
                <w:sz w:val="22"/>
              </w:rPr>
              <w:t>High — U.S. consumer sentiment is broadly applicable across CPG categories</w:t>
            </w:r>
          </w:p>
        </w:tc>
      </w:tr>
      <w:tr>
        <w:tc>
          <w:tcPr>
            <w:tcW w:type="dxa" w:w="2160"/>
          </w:tcPr>
          <w:p>
            <w:r>
              <w:rPr>
                <w:rFonts w:ascii="Calibri" w:hAnsi="Calibri"/>
                <w:sz w:val="22"/>
              </w:rPr>
              <w:t>Emerging Markets: "Remarkably Strong" for Second Consecutive Quarter</w:t>
            </w:r>
          </w:p>
        </w:tc>
        <w:tc>
          <w:tcPr>
            <w:tcW w:type="dxa" w:w="2160"/>
          </w:tcPr>
          <w:p>
            <w:r>
              <w:rPr>
                <w:rFonts w:ascii="Calibri" w:hAnsi="Calibri"/>
                <w:sz w:val="22"/>
              </w:rPr>
              <w:t>Emerging markets "remarkably strong for the second quarter in a row." India "very strong," Mexico/Brazil "solid." China "softer" but expected to "gradually improve." Volume-led growth driven by distribution expansion (100,000 new stores in India; Brazil at 1M stores).</w:t>
            </w:r>
          </w:p>
        </w:tc>
        <w:tc>
          <w:tcPr>
            <w:tcW w:type="dxa" w:w="2160"/>
          </w:tcPr>
          <w:p>
            <w:r>
              <w:rPr>
                <w:rFonts w:ascii="Calibri" w:hAnsi="Calibri"/>
                <w:b/>
                <w:color w:val="30A46C"/>
                <w:sz w:val="22"/>
              </w:rPr>
              <w:t>Positive. PG's enterprise markets (Latin America, AMEA) have been strong. MDLZ's confirmation of robust emerging market volume growth for a second consecutive quarter supports the view that PG's enterprise market momentum is structural, not episodic.</w:t>
            </w:r>
          </w:p>
        </w:tc>
        <w:tc>
          <w:tcPr>
            <w:tcW w:type="dxa" w:w="2160"/>
          </w:tcPr>
          <w:p>
            <w:r>
              <w:rPr>
                <w:rFonts w:ascii="Calibri" w:hAnsi="Calibri"/>
                <w:sz w:val="22"/>
              </w:rPr>
              <w:t>Medium — both companies have significant emerging market exposure; distribution expansion dynamics are similar</w:t>
            </w:r>
          </w:p>
        </w:tc>
      </w:tr>
      <w:tr>
        <w:tc>
          <w:tcPr>
            <w:tcW w:type="dxa" w:w="2160"/>
          </w:tcPr>
          <w:p>
            <w:r>
              <w:rPr>
                <w:rFonts w:ascii="Calibri" w:hAnsi="Calibri"/>
                <w:sz w:val="22"/>
              </w:rPr>
              <w:t>Middle East: "Causing Headaches on Top and Bottom"</w:t>
            </w:r>
          </w:p>
        </w:tc>
        <w:tc>
          <w:tcPr>
            <w:tcW w:type="dxa" w:w="2160"/>
          </w:tcPr>
          <w:p>
            <w:r>
              <w:rPr>
                <w:rFonts w:ascii="Calibri" w:hAnsi="Calibri"/>
                <w:sz w:val="22"/>
              </w:rPr>
              <w:t>"The Middle East crisis is causing us some headaches on top and bottom." Incremental costs "managed and digesting" and "included in the outlook." Lost "quite a bit of revenue in the first half" from the region. Cocoa market "in a very different place" from 2024 crisis; surplus at historical high.</w:t>
            </w:r>
          </w:p>
        </w:tc>
        <w:tc>
          <w:tcPr>
            <w:tcW w:type="dxa" w:w="2160"/>
          </w:tcPr>
          <w:p>
            <w:r>
              <w:rPr>
                <w:rFonts w:ascii="Calibri" w:hAnsi="Calibri"/>
                <w:b/>
                <w:color w:val="E5484D"/>
                <w:sz w:val="22"/>
              </w:rPr>
              <w:t>Negative confirmation. MDLZ's acknowledgment of both top-line and bottom-line impacts from the Middle East is consistent with PG's ~$150M after-tax headwind. The fact that MDLZ is managing it within guidance (raised top-line guidance) suggests the impact is bounded but real.</w:t>
            </w:r>
          </w:p>
        </w:tc>
        <w:tc>
          <w:tcPr>
            <w:tcW w:type="dxa" w:w="2160"/>
          </w:tcPr>
          <w:p>
            <w:r>
              <w:rPr>
                <w:rFonts w:ascii="Calibri" w:hAnsi="Calibri"/>
                <w:sz w:val="22"/>
              </w:rPr>
              <w:t>High — Middle East cost and revenue impacts are broadly applicable across global CPG</w:t>
            </w:r>
          </w:p>
        </w:tc>
      </w:tr>
      <w:tr>
        <w:tc>
          <w:tcPr>
            <w:tcW w:type="dxa" w:w="2160"/>
          </w:tcPr>
          <w:p>
            <w:r>
              <w:rPr>
                <w:rFonts w:ascii="Calibri" w:hAnsi="Calibri"/>
                <w:sz w:val="22"/>
              </w:rPr>
              <w:t>Pricing Environment: "Fairly Rational Across the Board"</w:t>
            </w:r>
          </w:p>
        </w:tc>
        <w:tc>
          <w:tcPr>
            <w:tcW w:type="dxa" w:w="2160"/>
          </w:tcPr>
          <w:p>
            <w:r>
              <w:rPr>
                <w:rFonts w:ascii="Calibri" w:hAnsi="Calibri"/>
                <w:sz w:val="22"/>
              </w:rPr>
              <w:t>"The environment is fairly rational across the board." "Disciplined promotional execution" and "solid pricing" working well. H2 guidance of "at least 2%" reflects "positive volume mix and modest contribution from pricing."</w:t>
            </w:r>
          </w:p>
        </w:tc>
        <w:tc>
          <w:tcPr>
            <w:tcW w:type="dxa" w:w="2160"/>
          </w:tcPr>
          <w:p>
            <w:r>
              <w:rPr>
                <w:rFonts w:ascii="Calibri" w:hAnsi="Calibri"/>
                <w:b/>
                <w:color w:val="30A46C"/>
                <w:sz w:val="22"/>
              </w:rPr>
              <w:t>Positive for PG's pricing strategy. A rational pricing environment reduces the risk of a price war that could force PG to choose between volume and margin. The "modest contribution from pricing" in H2 is consistent with PG's innovation-linked pricing philosophy.</w:t>
            </w:r>
          </w:p>
        </w:tc>
        <w:tc>
          <w:tcPr>
            <w:tcW w:type="dxa" w:w="2160"/>
          </w:tcPr>
          <w:p>
            <w:r>
              <w:rPr>
                <w:rFonts w:ascii="Calibri" w:hAnsi="Calibri"/>
                <w:sz w:val="22"/>
              </w:rPr>
              <w:t>Medium — pricing rationality is broadly applicable but MDLZ's categories (snacking) differ from PG's</w:t>
            </w:r>
          </w:p>
        </w:tc>
      </w:tr>
      <w:tr>
        <w:tc>
          <w:tcPr>
            <w:tcW w:type="dxa" w:w="2160"/>
          </w:tcPr>
          <w:p>
            <w:r>
              <w:rPr>
                <w:rFonts w:ascii="Calibri" w:hAnsi="Calibri"/>
                <w:sz w:val="22"/>
              </w:rPr>
              <w:t>Read-Through Limits</w:t>
            </w:r>
          </w:p>
        </w:tc>
        <w:tc>
          <w:tcPr>
            <w:tcW w:type="dxa" w:w="2160"/>
          </w:tcPr>
          <w:p>
            <w:r>
              <w:rPr>
                <w:rFonts w:ascii="Calibri" w:hAnsi="Calibri"/>
                <w:sz w:val="22"/>
              </w:rPr>
              <w:t>MDLZ is primarily a snacking company (biscuits, chocolate, gum). Its cocoa cost commentary is highly specific and not applicable to PG. The European heat wave impact on chocolate consumption is MDLZ-specific. MDLZ has no exposure to fabric care, baby care, grooming, or household cleaning.</w:t>
            </w:r>
          </w:p>
        </w:tc>
        <w:tc>
          <w:tcPr>
            <w:tcW w:type="dxa" w:w="2160"/>
          </w:tcPr>
          <w:p>
            <w:r>
              <w:rPr>
                <w:rFonts w:ascii="Calibri" w:hAnsi="Calibri"/>
                <w:sz w:val="22"/>
              </w:rPr>
              <w:t>Scope limited to North America consumer behavior and emerging market demand trends. Cocoa and European heat wave commentary should be excluded from PG read-through.</w:t>
            </w:r>
          </w:p>
        </w:tc>
        <w:tc>
          <w:tcPr>
            <w:tcW w:type="dxa" w:w="2160"/>
          </w:tcPr>
          <w:p>
            <w:r>
              <w:rPr>
                <w:rFonts w:ascii="Calibri" w:hAnsi="Calibri"/>
                <w:sz w:val="22"/>
              </w:rPr>
              <w:t>N/A</w:t>
            </w:r>
          </w:p>
        </w:tc>
      </w:tr>
    </w:tbl>
    <w:p>
      <w:pPr>
        <w:pStyle w:val="Heading3"/>
      </w:pPr>
      <w:r>
        <w:rPr>
          <w:rFonts w:ascii="Calibri" w:hAnsi="Calibri"/>
          <w:b/>
          <w:color w:val="3B4259"/>
          <w:sz w:val="24"/>
        </w:rPr>
        <w:t>8.8 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Supporting Peers</w:t>
            </w:r>
          </w:p>
        </w:tc>
        <w:tc>
          <w:tcPr>
            <w:tcW w:type="dxa" w:w="2160"/>
            <w:shd w:val="clear" w:color="auto" w:fill="3B4259"/>
          </w:tcPr>
          <w:p>
            <w:r>
              <w:rPr>
                <w:rFonts w:ascii="Calibri" w:hAnsi="Calibri"/>
                <w:b/>
                <w:color w:val="FFFFFF"/>
                <w:sz w:val="22"/>
              </w:rPr>
              <w:t>Implication for PG Q4</w:t>
            </w:r>
          </w:p>
        </w:tc>
      </w:tr>
      <w:tr>
        <w:tc>
          <w:tcPr>
            <w:tcW w:type="dxa" w:w="2160"/>
          </w:tcPr>
          <w:p>
            <w:r>
              <w:rPr>
                <w:rFonts w:ascii="Calibri" w:hAnsi="Calibri"/>
                <w:sz w:val="22"/>
              </w:rPr>
              <w:t>Global volume growth holding up / accelerating</w:t>
            </w:r>
          </w:p>
        </w:tc>
        <w:tc>
          <w:tcPr>
            <w:tcW w:type="dxa" w:w="2160"/>
          </w:tcPr>
          <w:p>
            <w:r>
              <w:rPr>
                <w:rFonts w:ascii="Calibri" w:hAnsi="Calibri"/>
                <w:b/>
                <w:color w:val="30A46C"/>
                <w:sz w:val="22"/>
              </w:rPr>
              <w:t>Positive</w:t>
            </w:r>
          </w:p>
        </w:tc>
        <w:tc>
          <w:tcPr>
            <w:tcW w:type="dxa" w:w="2160"/>
          </w:tcPr>
          <w:p>
            <w:r>
              <w:rPr>
                <w:rFonts w:ascii="Calibri" w:hAnsi="Calibri"/>
                <w:sz w:val="22"/>
              </w:rPr>
              <w:t>ULVR (+5.5% vol), KO (+5% vol), MDLZ (positive vol mix)</w:t>
            </w:r>
          </w:p>
        </w:tc>
        <w:tc>
          <w:tcPr>
            <w:tcW w:type="dxa" w:w="2160"/>
          </w:tcPr>
          <w:p>
            <w:r>
              <w:rPr>
                <w:rFonts w:ascii="Calibri" w:hAnsi="Calibri"/>
                <w:sz w:val="22"/>
              </w:rPr>
              <w:t>Supports PG's organic sales being at or above the +1.6% consensus; volume contribution could be positive</w:t>
            </w:r>
          </w:p>
        </w:tc>
      </w:tr>
      <w:tr>
        <w:tc>
          <w:tcPr>
            <w:tcW w:type="dxa" w:w="2160"/>
          </w:tcPr>
          <w:p>
            <w:r>
              <w:rPr>
                <w:rFonts w:ascii="Calibri" w:hAnsi="Calibri"/>
                <w:sz w:val="22"/>
              </w:rPr>
              <w:t>North America consumer softness / K-shaped economy</w:t>
            </w:r>
          </w:p>
        </w:tc>
        <w:tc>
          <w:tcPr>
            <w:tcW w:type="dxa" w:w="2160"/>
          </w:tcPr>
          <w:p>
            <w:r>
              <w:rPr>
                <w:rFonts w:ascii="Calibri" w:hAnsi="Calibri"/>
                <w:b/>
                <w:color w:val="E5484D"/>
                <w:sz w:val="22"/>
              </w:rPr>
              <w:t>Negative</w:t>
            </w:r>
          </w:p>
        </w:tc>
        <w:tc>
          <w:tcPr>
            <w:tcW w:type="dxa" w:w="2160"/>
          </w:tcPr>
          <w:p>
            <w:r>
              <w:rPr>
                <w:rFonts w:ascii="Calibri" w:hAnsi="Calibri"/>
                <w:sz w:val="22"/>
              </w:rPr>
              <w:t>CL ("markedly slow" in May), MDLZ ("very subdued" confidence), KO (lower-income pressured)</w:t>
            </w:r>
          </w:p>
        </w:tc>
        <w:tc>
          <w:tcPr>
            <w:tcW w:type="dxa" w:w="2160"/>
          </w:tcPr>
          <w:p>
            <w:r>
              <w:rPr>
                <w:rFonts w:ascii="Calibri" w:hAnsi="Calibri"/>
                <w:sz w:val="22"/>
              </w:rPr>
              <w:t>Supports low end of PG's North America organic sales; value-tier demand elevated</w:t>
            </w:r>
          </w:p>
        </w:tc>
      </w:tr>
      <w:tr>
        <w:tc>
          <w:tcPr>
            <w:tcW w:type="dxa" w:w="2160"/>
          </w:tcPr>
          <w:p>
            <w:r>
              <w:rPr>
                <w:rFonts w:ascii="Calibri" w:hAnsi="Calibri"/>
                <w:sz w:val="22"/>
              </w:rPr>
              <w:t>Emerging markets (Latin America, India, Indonesia) robust</w:t>
            </w:r>
          </w:p>
        </w:tc>
        <w:tc>
          <w:tcPr>
            <w:tcW w:type="dxa" w:w="2160"/>
          </w:tcPr>
          <w:p>
            <w:r>
              <w:rPr>
                <w:rFonts w:ascii="Calibri" w:hAnsi="Calibri"/>
                <w:b/>
                <w:color w:val="30A46C"/>
                <w:sz w:val="22"/>
              </w:rPr>
              <w:t>Positive</w:t>
            </w:r>
          </w:p>
        </w:tc>
        <w:tc>
          <w:tcPr>
            <w:tcW w:type="dxa" w:w="2160"/>
          </w:tcPr>
          <w:p>
            <w:r>
              <w:rPr>
                <w:rFonts w:ascii="Calibri" w:hAnsi="Calibri"/>
                <w:sz w:val="22"/>
              </w:rPr>
              <w:t>ULVR (LatAm +7.9% vol), MDLZ (India "very strong"), CL (LatAm "healthy")</w:t>
            </w:r>
          </w:p>
        </w:tc>
        <w:tc>
          <w:tcPr>
            <w:tcW w:type="dxa" w:w="2160"/>
          </w:tcPr>
          <w:p>
            <w:r>
              <w:rPr>
                <w:rFonts w:ascii="Calibri" w:hAnsi="Calibri"/>
                <w:sz w:val="22"/>
              </w:rPr>
              <w:t>Supports PG's enterprise market momentum continuing in Q4</w:t>
            </w:r>
          </w:p>
        </w:tc>
      </w:tr>
      <w:tr>
        <w:tc>
          <w:tcPr>
            <w:tcW w:type="dxa" w:w="2160"/>
          </w:tcPr>
          <w:p>
            <w:r>
              <w:rPr>
                <w:rFonts w:ascii="Calibri" w:hAnsi="Calibri"/>
                <w:sz w:val="22"/>
              </w:rPr>
              <w:t>China: cautious but not deteriorating</w:t>
            </w:r>
          </w:p>
        </w:tc>
        <w:tc>
          <w:tcPr>
            <w:tcW w:type="dxa" w:w="2160"/>
          </w:tcPr>
          <w:p>
            <w:r>
              <w:rPr>
                <w:rFonts w:ascii="Calibri" w:hAnsi="Calibri"/>
                <w:b/>
                <w:color w:val="002FA7"/>
                <w:sz w:val="22"/>
              </w:rPr>
              <w:t>Neutral</w:t>
            </w:r>
          </w:p>
        </w:tc>
        <w:tc>
          <w:tcPr>
            <w:tcW w:type="dxa" w:w="2160"/>
          </w:tcPr>
          <w:p>
            <w:r>
              <w:rPr>
                <w:rFonts w:ascii="Calibri" w:hAnsi="Calibri"/>
                <w:sz w:val="22"/>
              </w:rPr>
              <w:t>KO ("cautious, spending selected"), MDLZ ("softer, gradually improve"), EL (6/18 momentum "strong")</w:t>
            </w:r>
          </w:p>
        </w:tc>
        <w:tc>
          <w:tcPr>
            <w:tcW w:type="dxa" w:w="2160"/>
          </w:tcPr>
          <w:p>
            <w:r>
              <w:rPr>
                <w:rFonts w:ascii="Calibri" w:hAnsi="Calibri"/>
                <w:sz w:val="22"/>
              </w:rPr>
              <w:t>Consistent with PG's China narrative; SK-II and Pampers momentum may continue but macro remains a headwind</w:t>
            </w:r>
          </w:p>
        </w:tc>
      </w:tr>
      <w:tr>
        <w:tc>
          <w:tcPr>
            <w:tcW w:type="dxa" w:w="2160"/>
          </w:tcPr>
          <w:p>
            <w:r>
              <w:rPr>
                <w:rFonts w:ascii="Calibri" w:hAnsi="Calibri"/>
                <w:sz w:val="22"/>
              </w:rPr>
              <w:t>Middle East cost headwind: real, broad-based, H2-weighted</w:t>
            </w:r>
          </w:p>
        </w:tc>
        <w:tc>
          <w:tcPr>
            <w:tcW w:type="dxa" w:w="2160"/>
          </w:tcPr>
          <w:p>
            <w:r>
              <w:rPr>
                <w:rFonts w:ascii="Calibri" w:hAnsi="Calibri"/>
                <w:b/>
                <w:color w:val="E5484D"/>
                <w:sz w:val="22"/>
              </w:rPr>
              <w:t>Negative</w:t>
            </w:r>
          </w:p>
        </w:tc>
        <w:tc>
          <w:tcPr>
            <w:tcW w:type="dxa" w:w="2160"/>
          </w:tcPr>
          <w:p>
            <w:r>
              <w:rPr>
                <w:rFonts w:ascii="Calibri" w:hAnsi="Calibri"/>
                <w:sz w:val="22"/>
              </w:rPr>
              <w:t>ULVR (~€850M FY inflation, €550M in H2), MDLZ ("headaches on top and bottom"), KO ("disruption continues")</w:t>
            </w:r>
          </w:p>
        </w:tc>
        <w:tc>
          <w:tcPr>
            <w:tcW w:type="dxa" w:w="2160"/>
          </w:tcPr>
          <w:p>
            <w:r>
              <w:rPr>
                <w:rFonts w:ascii="Calibri" w:hAnsi="Calibri"/>
                <w:sz w:val="22"/>
              </w:rPr>
              <w:t>Confirms PG's ~$150M after-tax Q4 headwind is real; risk is to the downside if oil prices remain elevated</w:t>
            </w:r>
          </w:p>
        </w:tc>
      </w:tr>
      <w:tr>
        <w:tc>
          <w:tcPr>
            <w:tcW w:type="dxa" w:w="2160"/>
          </w:tcPr>
          <w:p>
            <w:r>
              <w:rPr>
                <w:rFonts w:ascii="Calibri" w:hAnsi="Calibri"/>
                <w:sz w:val="22"/>
              </w:rPr>
              <w:t>Pricing environment rational; no price war</w:t>
            </w:r>
          </w:p>
        </w:tc>
        <w:tc>
          <w:tcPr>
            <w:tcW w:type="dxa" w:w="2160"/>
          </w:tcPr>
          <w:p>
            <w:r>
              <w:rPr>
                <w:rFonts w:ascii="Calibri" w:hAnsi="Calibri"/>
                <w:b/>
                <w:color w:val="30A46C"/>
                <w:sz w:val="22"/>
              </w:rPr>
              <w:t>Positive</w:t>
            </w:r>
          </w:p>
        </w:tc>
        <w:tc>
          <w:tcPr>
            <w:tcW w:type="dxa" w:w="2160"/>
          </w:tcPr>
          <w:p>
            <w:r>
              <w:rPr>
                <w:rFonts w:ascii="Calibri" w:hAnsi="Calibri"/>
                <w:sz w:val="22"/>
              </w:rPr>
              <w:t>MDLZ ("fairly rational"), CL ("largely rational" with slight uptick), KO (RGM-led)</w:t>
            </w:r>
          </w:p>
        </w:tc>
        <w:tc>
          <w:tcPr>
            <w:tcW w:type="dxa" w:w="2160"/>
          </w:tcPr>
          <w:p>
            <w:r>
              <w:rPr>
                <w:rFonts w:ascii="Calibri" w:hAnsi="Calibri"/>
                <w:sz w:val="22"/>
              </w:rPr>
              <w:t>Reduces risk of forced promotional spending by PG; supports innovation-linked pricing strategy</w:t>
            </w:r>
          </w:p>
        </w:tc>
      </w:tr>
      <w:tr>
        <w:tc>
          <w:tcPr>
            <w:tcW w:type="dxa" w:w="2160"/>
          </w:tcPr>
          <w:p>
            <w:r>
              <w:rPr>
                <w:rFonts w:ascii="Calibri" w:hAnsi="Calibri"/>
                <w:sz w:val="22"/>
              </w:rPr>
              <w:t>Supply chain resilience mitigating Middle East disruption</w:t>
            </w:r>
          </w:p>
        </w:tc>
        <w:tc>
          <w:tcPr>
            <w:tcW w:type="dxa" w:w="2160"/>
          </w:tcPr>
          <w:p>
            <w:r>
              <w:rPr>
                <w:rFonts w:ascii="Calibri" w:hAnsi="Calibri"/>
                <w:b/>
                <w:color w:val="30A46C"/>
                <w:sz w:val="22"/>
              </w:rPr>
              <w:t>Positive</w:t>
            </w:r>
          </w:p>
        </w:tc>
        <w:tc>
          <w:tcPr>
            <w:tcW w:type="dxa" w:w="2160"/>
          </w:tcPr>
          <w:p>
            <w:r>
              <w:rPr>
                <w:rFonts w:ascii="Calibri" w:hAnsi="Calibri"/>
                <w:sz w:val="22"/>
              </w:rPr>
              <w:t>EL ("impact minimal" due to agility), KO ("resilience and adaptability"), ULVR ("supply security absolute priority")</w:t>
            </w:r>
          </w:p>
        </w:tc>
        <w:tc>
          <w:tcPr>
            <w:tcW w:type="dxa" w:w="2160"/>
          </w:tcPr>
          <w:p>
            <w:r>
              <w:rPr>
                <w:rFonts w:ascii="Calibri" w:hAnsi="Calibri"/>
                <w:sz w:val="22"/>
              </w:rPr>
              <w:t>Validates PG's claim of no stockouts; supply chain resilience is a competitive advantage, not just a talking point</w:t>
            </w:r>
          </w:p>
        </w:tc>
      </w:tr>
    </w:tbl>
    <w:p>
      <w:r>
        <w:rPr>
          <w:rFonts w:ascii="Calibri" w:hAnsi="Calibri"/>
          <w:b/>
          <w:color w:val="525866"/>
          <w:sz w:val="22"/>
        </w:rPr>
        <w:t>Overall Peer Read-Through Assessment:</w:t>
      </w:r>
      <w:r>
        <w:rPr>
          <w:rFonts w:ascii="Calibri" w:hAnsi="Calibri"/>
          <w:color w:val="525866"/>
          <w:sz w:val="22"/>
        </w:rPr>
        <w:t xml:space="preserve"> The weight of peer evidence is </w:t>
      </w:r>
      <w:r>
        <w:rPr>
          <w:rFonts w:ascii="Calibri" w:hAnsi="Calibri"/>
          <w:b/>
          <w:color w:val="525866"/>
          <w:sz w:val="22"/>
        </w:rPr>
        <w:t>net cautiously positive</w:t>
      </w:r>
      <w:r>
        <w:rPr>
          <w:rFonts w:ascii="Calibri" w:hAnsi="Calibri"/>
          <w:color w:val="525866"/>
          <w:sz w:val="22"/>
        </w:rPr>
        <w:t xml:space="preserve"> for PG's Q4 print. The strongest positive signals are Unilever's best-since-2010 volume quarter (direct category overlap in home care and personal care) and the broad-based emerging market strength confirmed by multiple peers. The key negative signals are North America consumer softness (consistent across CL, MDLZ, KO) and the broad-based Middle East cost headwind (confirmed by ULVR and MDLZ). The net read-through is that PG's organic sales consensus of +1.6% is achievable but not a layup, and the EPS outcome will depend heavily on whether the Middle East cost hit comes in at, above, or below the guided ~$150M after-tax figure. The pricing environment being rational across peers is a meaningful positive for PG's margin defense strategy.</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