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ltr-earnings-predictions--2026-08-03"/>
    <w:p>
      <w:pPr>
        <w:pStyle w:val="Heading1"/>
      </w:pPr>
      <w:r>
        <w:t xml:space="preserve">PLTR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~$1.85B vs. cons $1.80B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U.S. Commercial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690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 </m:t>
              </m:r>
              <m:r>
                <m:t>130</m:t>
              </m:r>
            </m:oMath>
            <w:r>
              <w:t xml:space="preserve">640M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~$0.37 vs. cons $0.35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7.75B (FY2026, vs prior guide $7.650-7.662B)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1.92B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U.S. Commercial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3.35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3.30B (FY2026, vs prior &gt;$3.224B)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Operating Income / margin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4.60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59</m:t>
              </m:r>
            </m:oMath>
            <w:r>
              <w:t xml:space="preserve">4.50B (FY2026, vs prior $4.440-4.452B)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Base case is a classic beat-and-raise (rev ~$1.85B &gt;guide, FY raised again, U.S. commercial re-accelerating), which sparks a relief pop given the stock is already down ~23% from June highs with cleaner positioning. But at ~38x FY sales the multiple leaves no margin of safety, and the out-period math works against follow-through: consensus already embeds ~85% growth and ~60% margins, so even a strong raise implies only in-line/decelerating go-forward growth-rate optics. As the initial pop meets valuation/deceleration concerns and 'great-but-not-perfect' scrutiny, the idiosyncratic gain partially fades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2026-08-03T00:12:16Z</dcterms:created>
  <dcterms:modified xsi:type="dcterms:W3CDTF">2026-08-03T00:12:16Z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