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PLTR before writing the preview. Let me gather recent earnings, guidance, news, and price data.I have good context. Let me read the most recent earnings materials (2026Q1) and the year-ago quarter (2025Q2) for guidance details, plus get the recent stock price.Let me pull the year-ago Q2 2025 figures for accurate YoY comparisons.I now have everything I need. Let me write the preview.</w:t>
      </w:r>
    </w:p>
    <w:bookmarkStart w:id="18" w:name="X54844f47b4e58ccf67044780fa68c5dc54471b4"/>
    <w:p>
      <w:pPr>
        <w:pStyle w:val="Heading1"/>
      </w:pPr>
      <w:r>
        <w:t xml:space="preserve">Palantir Technologies (PLTR) — Q2 2026 Earnings Preview</w:t>
      </w:r>
    </w:p>
    <w:bookmarkStart w:id="9" w:name="X271d728f5408f7b13af188c7b94ac215b4291a9"/>
    <w:p>
      <w:pPr>
        <w:pStyle w:val="Heading3"/>
      </w:pPr>
      <w:r>
        <w:t xml:space="preserve">Reports Monday, August 3, 2026 (after market close) | 2026Q2 Earnings Call</w:t>
      </w:r>
    </w:p>
    <w:p>
      <w:r>
        <w:pict>
          <v:rect style="width:0;height:1.5pt" o:hralign="center" o:hrstd="t" o:hr="t"/>
        </w:pict>
      </w:r>
    </w:p>
    <w:bookmarkEnd w:id="9"/>
    <w:bookmarkStart w:id="10" w:name="the-setup-in-one-line"/>
    <w:p>
      <w:pPr>
        <w:pStyle w:val="Heading2"/>
      </w:pPr>
      <w:r>
        <w:t xml:space="preserve">The Setup in One Line</w:t>
      </w:r>
    </w:p>
    <w:p>
      <w:pPr>
        <w:pStyle w:val="FirstParagraph"/>
      </w:pPr>
      <w:r>
        <w:t xml:space="preserve">Palantir goes into this print as the market's marquee "operational AI" story — a company that has strung together an extraordinary run of accelerating growth and expanding margins — but with a stock that has cooled hard off its highs and a valuation that leaves essentially zero room for a stumble. The debate is no longer whether the business is good; it's whether</w:t>
      </w:r>
      <w:r>
        <w:t xml:space="preserve"> </w:t>
      </w:r>
      <w:r>
        <w:rPr>
          <w:i/>
          <w:iCs/>
        </w:rPr>
        <w:t xml:space="preserve">any</w:t>
      </w:r>
      <w:r>
        <w:t xml:space="preserve"> </w:t>
      </w:r>
      <w:r>
        <w:t xml:space="preserve">result can justify the multiple.</w:t>
      </w:r>
    </w:p>
    <w:p>
      <w:r>
        <w:pict>
          <v:rect style="width:0;height:1.5pt" o:hralign="center" o:hrstd="t" o:hr="t"/>
        </w:pict>
      </w:r>
    </w:p>
    <w:bookmarkEnd w:id="10"/>
    <w:bookmarkStart w:id="11" w:name="X548855e02d54b48f88800ec7264f9f2e36a1671"/>
    <w:p>
      <w:pPr>
        <w:pStyle w:val="Heading2"/>
      </w:pPr>
      <w:r>
        <w:t xml:space="preserve">What the Company Guided For (the bar management set)</w:t>
      </w:r>
    </w:p>
    <w:p>
      <w:pPr>
        <w:pStyle w:val="FirstParagraph"/>
      </w:pPr>
      <w:r>
        <w:t xml:space="preserve">On the Q1 2026 call (May 4), management issued the following Q2 2026 guidance: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Q2 2025 Actual</w:t>
            </w:r>
          </w:p>
        </w:tc>
        <w:tc>
          <w:tcPr/>
          <w:p>
            <w:pPr>
              <w:pStyle w:val="Compact"/>
            </w:pPr>
            <w:r>
              <w:t xml:space="preserve">Implied YoY</w:t>
            </w:r>
          </w:p>
        </w:tc>
      </w:tr>
      <w:tr>
        <w:tc>
          <w:tcPr/>
          <w:p>
            <w:pPr>
              <w:pStyle w:val="Compact"/>
            </w:pPr>
            <w:r>
              <w:t xml:space="preserve">Revenue</w:t>
            </w:r>
          </w:p>
        </w:tc>
        <w:tc>
          <w:tcPr/>
          <w:p>
            <w:pPr>
              <w:pStyle w:val="Compact"/>
            </w:pPr>
            <w:r>
              <w:t xml:space="preserve">$1.797B – $1.801B</w:t>
            </w:r>
          </w:p>
        </w:tc>
        <w:tc>
          <w:tcPr/>
          <w:p>
            <w:pPr>
              <w:pStyle w:val="Compact"/>
            </w:pPr>
            <w:r>
              <w:t xml:space="preserve">$1.004B</w:t>
            </w:r>
          </w:p>
        </w:tc>
        <w:tc>
          <w:tcPr/>
          <w:p>
            <w:pPr>
              <w:pStyle w:val="Compact"/>
            </w:pPr>
            <w:r>
              <w:rPr>
                <w:b/>
                <w:bCs/>
              </w:rPr>
              <w:t xml:space="preserve">~+79–80%</w:t>
            </w:r>
          </w:p>
        </w:tc>
      </w:tr>
      <w:tr>
        <w:tc>
          <w:tcPr/>
          <w:p>
            <w:pPr>
              <w:pStyle w:val="Compact"/>
            </w:pPr>
            <w:r>
              <w:t xml:space="preserve">Adj. income from operations</w:t>
            </w:r>
          </w:p>
        </w:tc>
        <w:tc>
          <w:tcPr/>
          <w:p>
            <w:pPr>
              <w:pStyle w:val="Compact"/>
            </w:pPr>
            <w:r>
              <w:t xml:space="preserve">$1.063B – $1.067B</w:t>
            </w:r>
          </w:p>
        </w:tc>
        <w:tc>
          <w:tcPr/>
          <w:p>
            <w:pPr>
              <w:pStyle w:val="Compact"/>
            </w:pPr>
            <w:r>
              <w:t xml:space="preserve">$464M</w:t>
            </w:r>
          </w:p>
        </w:tc>
        <w:tc>
          <w:tcPr/>
          <w:p>
            <w:pPr>
              <w:pStyle w:val="Compact"/>
            </w:pPr>
            <w:r>
              <w:t xml:space="preserve">~+130%</w:t>
            </w:r>
          </w:p>
        </w:tc>
      </w:tr>
      <w:tr>
        <w:tc>
          <w:tcPr/>
          <w:p>
            <w:pPr>
              <w:pStyle w:val="Compact"/>
            </w:pPr>
            <w:r>
              <w:t xml:space="preserve">Implied adj. operating margin</w:t>
            </w:r>
          </w:p>
        </w:tc>
        <w:tc>
          <w:tcPr/>
          <w:p>
            <w:pPr>
              <w:pStyle w:val="Compact"/>
            </w:pPr>
            <w:r>
              <w:rPr>
                <w:b/>
                <w:bCs/>
              </w:rPr>
              <w:t xml:space="preserve">~59%</w:t>
            </w:r>
          </w:p>
        </w:tc>
        <w:tc>
          <w:tcPr/>
          <w:p>
            <w:pPr>
              <w:pStyle w:val="Compact"/>
            </w:pPr>
            <w:r>
              <w:t xml:space="preserve">46%</w:t>
            </w:r>
          </w:p>
        </w:tc>
        <w:tc>
          <w:tcPr/>
          <w:p>
            <w:pPr>
              <w:pStyle w:val="Compact"/>
            </w:pPr>
            <w:r>
              <w:t xml:space="preserve">+~13 pts</w:t>
            </w:r>
          </w:p>
        </w:tc>
      </w:tr>
    </w:tbl>
    <w:p>
      <w:pPr>
        <w:pStyle w:val="BodyText"/>
      </w:pPr>
      <w:r>
        <w:t xml:space="preserve">For the</w:t>
      </w:r>
      <w:r>
        <w:t xml:space="preserve"> </w:t>
      </w:r>
      <w:r>
        <w:rPr>
          <w:b/>
          <w:bCs/>
        </w:rPr>
        <w:t xml:space="preserve">full year 2026</w:t>
      </w:r>
      <w:r>
        <w:t xml:space="preserve">, management raised guidance to:</w:t>
      </w:r>
    </w:p>
    <w:p>
      <w:pPr>
        <w:pStyle w:val="Compact"/>
        <w:numPr>
          <w:ilvl w:val="0"/>
          <w:numId w:val="1001"/>
        </w:numPr>
      </w:pPr>
      <w:r>
        <w:rPr>
          <w:b/>
          <w:bCs/>
        </w:rPr>
        <w:t xml:space="preserve">Revenue: $7.650B – $7.662B (~71% growth)</w:t>
      </w:r>
      <w:r>
        <w:t xml:space="preserve"> </w:t>
      </w:r>
      <w:r>
        <w:t xml:space="preserve">— the largest full-year raise in company history, a 10-point jump from the prior quarter's guide</w:t>
      </w:r>
    </w:p>
    <w:p>
      <w:pPr>
        <w:pStyle w:val="Compact"/>
        <w:numPr>
          <w:ilvl w:val="0"/>
          <w:numId w:val="1001"/>
        </w:numPr>
      </w:pPr>
      <w:r>
        <w:rPr>
          <w:b/>
          <w:bCs/>
        </w:rPr>
        <w:t xml:space="preserve">U.S. commercial revenue: &gt;$3.224B (at least +120%)</w:t>
      </w:r>
    </w:p>
    <w:p>
      <w:pPr>
        <w:pStyle w:val="Compact"/>
        <w:numPr>
          <w:ilvl w:val="0"/>
          <w:numId w:val="1001"/>
        </w:numPr>
      </w:pPr>
      <w:r>
        <w:rPr>
          <w:b/>
          <w:bCs/>
        </w:rPr>
        <w:t xml:space="preserve">Adj. income from operations: $4.440B – $4.452B</w:t>
      </w:r>
    </w:p>
    <w:p>
      <w:pPr>
        <w:pStyle w:val="Compact"/>
        <w:numPr>
          <w:ilvl w:val="0"/>
          <w:numId w:val="1001"/>
        </w:numPr>
      </w:pPr>
      <w:r>
        <w:rPr>
          <w:b/>
          <w:bCs/>
        </w:rPr>
        <w:t xml:space="preserve">Adj. free cash flow: $4.2B – $4.4B</w:t>
      </w:r>
    </w:p>
    <w:p>
      <w:pPr>
        <w:pStyle w:val="Compact"/>
        <w:numPr>
          <w:ilvl w:val="0"/>
          <w:numId w:val="1001"/>
        </w:numPr>
      </w:pPr>
      <w:r>
        <w:t xml:space="preserve">GAAP operating income and net income in every quarter</w:t>
      </w:r>
    </w:p>
    <w:p>
      <w:r>
        <w:pict>
          <v:rect style="width:0;height:1.5pt" o:hralign="center" o:hrstd="t" o:hr="t"/>
        </w:pict>
      </w:r>
    </w:p>
    <w:bookmarkEnd w:id="11"/>
    <w:bookmarkStart w:id="12" w:name="what-the-street-is-looking-for"/>
    <w:p>
      <w:pPr>
        <w:pStyle w:val="Heading2"/>
      </w:pPr>
      <w:r>
        <w:t xml:space="preserve">What the Street Is Looking For</w:t>
      </w:r>
    </w:p>
    <w:p>
      <w:pPr>
        <w:pStyle w:val="FirstParagraph"/>
      </w:pPr>
      <w:r>
        <w:t xml:space="preserve">Consensus/Street commentary heading in, per recent coverage: sales growth of 80% to $1.8 billion, operating margins of approximately 60% (up more than 1,500 basis points year-over-year), and EPS growth of 117% to $0.35. For reference, year-ago Q2 2025 adjusted EPS was</w:t>
      </w:r>
      <w:r>
        <w:t xml:space="preserve"> </w:t>
      </w:r>
      <m:oMath>
        <m:r>
          <m:t>0.16</m:t>
        </m:r>
        <m:r>
          <m:rPr>
            <m:sty m:val="p"/>
          </m:rPr>
          <m:t>,</m:t>
        </m:r>
        <m:r>
          <m:t>s</m:t>
        </m:r>
        <m:r>
          <m:t>o</m:t>
        </m:r>
        <m:r>
          <m:t> </m:t>
        </m:r>
      </m:oMath>
      <w:r>
        <w:t xml:space="preserve">0.35 implies roughly a doubling-plus of profitability.</w:t>
      </w:r>
    </w:p>
    <w:p>
      <w:pPr>
        <w:pStyle w:val="BodyText"/>
      </w:pPr>
      <w:r>
        <w:t xml:space="preserve">Notably, at least one sell-side shop is positioned for an upside surprise: Oppenheimer analysts are bullish on the expected results, anticipating an 85% year-over-year revenue beat and an outlook raise.</w:t>
      </w:r>
    </w:p>
    <w:p>
      <w:pPr>
        <w:pStyle w:val="BodyText"/>
      </w:pPr>
      <w:r>
        <w:rPr>
          <w:b/>
          <w:bCs/>
        </w:rPr>
        <w:t xml:space="preserve">The key dynamic to remember:</w:t>
      </w:r>
      <w:r>
        <w:t xml:space="preserve"> </w:t>
      </w:r>
      <w:r>
        <w:t xml:space="preserve">Palantir has a deeply entrenched "guide conservatively, beat handily, raise aggressively" pattern. In Q1 2026 it printed 85% growth against a much lower guide and then lifted the full-year number by 10 points. So the ~80% guide is best read as a</w:t>
      </w:r>
      <w:r>
        <w:t xml:space="preserve"> </w:t>
      </w:r>
      <w:r>
        <w:rPr>
          <w:i/>
          <w:iCs/>
        </w:rPr>
        <w:t xml:space="preserve">floor</w:t>
      </w:r>
      <w:r>
        <w:t xml:space="preserve">, not an expectation — the real question is the size of the beat and the magnitude of the FY raise (especially the U.S. commercial bar).</w:t>
      </w:r>
    </w:p>
    <w:p>
      <w:r>
        <w:pict>
          <v:rect style="width:0;height:1.5pt" o:hralign="center" o:hrstd="t" o:hr="t"/>
        </w:pict>
      </w:r>
    </w:p>
    <w:bookmarkEnd w:id="12"/>
    <w:bookmarkStart w:id="13" w:name="q1-2026-recap--the-momentum-backdrop"/>
    <w:p>
      <w:pPr>
        <w:pStyle w:val="Heading2"/>
      </w:pPr>
      <w:r>
        <w:t xml:space="preserve">Q1 2026 Recap — the momentum backdrop</w:t>
      </w:r>
    </w:p>
    <w:p>
      <w:pPr>
        <w:pStyle w:val="FirstParagraph"/>
      </w:pPr>
      <w:r>
        <w:t xml:space="preserve">The last report was a blowout, and it sets a very high internal comp:</w:t>
      </w:r>
    </w:p>
    <w:p>
      <w:pPr>
        <w:pStyle w:val="Compact"/>
        <w:numPr>
          <w:ilvl w:val="0"/>
          <w:numId w:val="1002"/>
        </w:numPr>
      </w:pPr>
      <w:r>
        <w:rPr>
          <w:b/>
          <w:bCs/>
        </w:rPr>
        <w:t xml:space="preserve">Revenue $1.633B, +85% Y/Y</w:t>
      </w:r>
      <w:r>
        <w:t xml:space="preserve"> </w:t>
      </w:r>
      <w:r>
        <w:t xml:space="preserve">(highest-ever growth rate as a public company) and +16% Q/Q</w:t>
      </w:r>
    </w:p>
    <w:p>
      <w:pPr>
        <w:pStyle w:val="Compact"/>
        <w:numPr>
          <w:ilvl w:val="0"/>
          <w:numId w:val="1002"/>
        </w:numPr>
      </w:pPr>
      <w:r>
        <w:rPr>
          <w:b/>
          <w:bCs/>
        </w:rPr>
        <w:t xml:space="preserve">U.S. revenue +104% Y/Y</w:t>
      </w:r>
      <w:r>
        <w:t xml:space="preserve"> </w:t>
      </w:r>
      <w:r>
        <w:t xml:space="preserve">to $1.282B — first-ever triple-digit U.S. growth, now ~79% of total</w:t>
      </w:r>
    </w:p>
    <w:p>
      <w:pPr>
        <w:pStyle w:val="Compact"/>
        <w:numPr>
          <w:ilvl w:val="1"/>
          <w:numId w:val="1003"/>
        </w:numPr>
      </w:pPr>
      <w:r>
        <w:rPr>
          <w:b/>
          <w:bCs/>
        </w:rPr>
        <w:t xml:space="preserve">U.S. commercial $595M, +133% Y/Y</w:t>
      </w:r>
      <w:r>
        <w:t xml:space="preserve"> </w:t>
      </w:r>
      <w:r>
        <w:t xml:space="preserve">(would have been +143% absent a commercial-to-government program transition)</w:t>
      </w:r>
    </w:p>
    <w:p>
      <w:pPr>
        <w:pStyle w:val="Compact"/>
        <w:numPr>
          <w:ilvl w:val="1"/>
          <w:numId w:val="1003"/>
        </w:numPr>
      </w:pPr>
      <w:r>
        <w:rPr>
          <w:b/>
          <w:bCs/>
        </w:rPr>
        <w:t xml:space="preserve">U.S. government $687M, +84% Y/Y</w:t>
      </w:r>
    </w:p>
    <w:p>
      <w:pPr>
        <w:pStyle w:val="Compact"/>
        <w:numPr>
          <w:ilvl w:val="0"/>
          <w:numId w:val="1002"/>
        </w:numPr>
      </w:pPr>
      <w:r>
        <w:rPr>
          <w:b/>
          <w:bCs/>
        </w:rPr>
        <w:t xml:space="preserve">Rule of 40 score of 145%</w:t>
      </w:r>
      <w:r>
        <w:t xml:space="preserve"> </w:t>
      </w:r>
      <w:r>
        <w:t xml:space="preserve">(up from 127% in Q4) — the metric management most likes to flaunt</w:t>
      </w:r>
    </w:p>
    <w:p>
      <w:pPr>
        <w:pStyle w:val="Compact"/>
        <w:numPr>
          <w:ilvl w:val="0"/>
          <w:numId w:val="1002"/>
        </w:numPr>
      </w:pPr>
      <w:r>
        <w:rPr>
          <w:b/>
          <w:bCs/>
        </w:rPr>
        <w:t xml:space="preserve">Net dollar retention 150%</w:t>
      </w:r>
      <w:r>
        <w:t xml:space="preserve"> </w:t>
      </w:r>
      <w:r>
        <w:t xml:space="preserve">(+1,100 bps Q/Q)</w:t>
      </w:r>
    </w:p>
    <w:p>
      <w:pPr>
        <w:pStyle w:val="Compact"/>
        <w:numPr>
          <w:ilvl w:val="0"/>
          <w:numId w:val="1002"/>
        </w:numPr>
      </w:pPr>
      <w:r>
        <w:rPr>
          <w:b/>
          <w:bCs/>
        </w:rPr>
        <w:t xml:space="preserve">TCV bookings $2.41B, +61% Y/Y</w:t>
      </w:r>
      <w:r>
        <w:t xml:space="preserve">; total remaining deal value $11.8B (+98% Y/Y); RPO $4.5B</w:t>
      </w:r>
    </w:p>
    <w:p>
      <w:pPr>
        <w:pStyle w:val="Compact"/>
        <w:numPr>
          <w:ilvl w:val="0"/>
          <w:numId w:val="1002"/>
        </w:numPr>
      </w:pPr>
      <w:r>
        <w:rPr>
          <w:b/>
          <w:bCs/>
        </w:rPr>
        <w:t xml:space="preserve">GAAP EPS $0.34 / Adjusted EPS $0.33</w:t>
      </w:r>
      <w:r>
        <w:t xml:space="preserve">; GAAP net income $871M (53% margin)</w:t>
      </w:r>
    </w:p>
    <w:p>
      <w:pPr>
        <w:pStyle w:val="Compact"/>
        <w:numPr>
          <w:ilvl w:val="0"/>
          <w:numId w:val="1002"/>
        </w:numPr>
      </w:pPr>
      <w:r>
        <w:t xml:space="preserve">**Adjusted FCF</w:t>
      </w:r>
      <w:r>
        <w:t xml:space="preserve"> </w:t>
      </w:r>
      <m:oMath>
        <m:r>
          <m:t>925</m:t>
        </m:r>
        <m:r>
          <m:t>M</m:t>
        </m:r>
        <m:r>
          <m:rPr>
            <m:sty m:val="p"/>
          </m:rPr>
          <m:t>(</m:t>
        </m:r>
        <m:r>
          <m:t>57</m:t>
        </m:r>
      </m:oMath>
      <w:r>
        <w:t xml:space="preserve">8.0B cash &amp; short-term Treasuries, essentially no debt</w:t>
      </w:r>
    </w:p>
    <w:p>
      <w:pPr>
        <w:pStyle w:val="Compact"/>
        <w:numPr>
          <w:ilvl w:val="0"/>
          <w:numId w:val="1002"/>
        </w:numPr>
      </w:pPr>
      <w:r>
        <w:t xml:space="preserve">Customer count 1,007 (+31% Y/Y)</w:t>
      </w:r>
    </w:p>
    <w:p>
      <w:pPr>
        <w:pStyle w:val="FirstParagraph"/>
      </w:pPr>
      <w:r>
        <w:t xml:space="preserve">Management framed the business around AIP as the "no-slop zone" and leaned heavily on the</w:t>
      </w:r>
      <w:r>
        <w:t xml:space="preserve"> </w:t>
      </w:r>
      <w:r>
        <w:rPr>
          <w:b/>
          <w:bCs/>
        </w:rPr>
        <w:t xml:space="preserve">Jevons paradox</w:t>
      </w:r>
      <w:r>
        <w:t xml:space="preserve"> </w:t>
      </w:r>
      <w:r>
        <w:t xml:space="preserve">thesis — cheaper AI tokens driving exponentially more usage, with the Ontology as the indispensable layer. CEO Alex Karp reiterated the goal of ~100% U.S. growth for the year and repeatedly said the constraint is</w:t>
      </w:r>
      <w:r>
        <w:t xml:space="preserve"> </w:t>
      </w:r>
      <w:r>
        <w:rPr>
          <w:b/>
          <w:bCs/>
        </w:rPr>
        <w:t xml:space="preserve">supply, not demand</w:t>
      </w:r>
      <w:r>
        <w:t xml:space="preserve">.</w:t>
      </w:r>
    </w:p>
    <w:p>
      <w:r>
        <w:pict>
          <v:rect style="width:0;height:1.5pt" o:hralign="center" o:hrstd="t" o:hr="t"/>
        </w:pict>
      </w:r>
    </w:p>
    <w:bookmarkEnd w:id="13"/>
    <w:bookmarkStart w:id="14" w:name="what-actually-matters-in-this-print"/>
    <w:p>
      <w:pPr>
        <w:pStyle w:val="Heading2"/>
      </w:pPr>
      <w:r>
        <w:t xml:space="preserve">What Actually Matters in This Print</w:t>
      </w:r>
    </w:p>
    <w:p>
      <w:pPr>
        <w:pStyle w:val="FirstParagraph"/>
      </w:pPr>
      <w:r>
        <w:rPr>
          <w:b/>
          <w:bCs/>
        </w:rPr>
        <w:t xml:space="preserve">1. The size of the beat and the FY raise.</w:t>
      </w:r>
      <w:r>
        <w:t xml:space="preserve"> </w:t>
      </w:r>
      <w:r>
        <w:t xml:space="preserve">With ~80% guided, anything sub-80% would be a genuine shock. Focus on whether reported growth lands near/above the ~85% run-rate and whether the FY revenue and (critically) the &gt;$3.224B U.S. commercial bar get raised again.</w:t>
      </w:r>
    </w:p>
    <w:p>
      <w:pPr>
        <w:pStyle w:val="BodyText"/>
      </w:pPr>
      <w:r>
        <w:rPr>
          <w:b/>
          <w:bCs/>
        </w:rPr>
        <w:t xml:space="preserve">2. U.S. commercial trajectory.</w:t>
      </w:r>
      <w:r>
        <w:t xml:space="preserve"> </w:t>
      </w:r>
      <w:r>
        <w:t xml:space="preserve">This is the growth engine (+133% in Q1) and the swing factor for the multiple. Watch the raw growth rate, TCV bookings (has now been &gt;$1B for three straight quarters), and RDV. Also watch whether the Q1 "commercial → government program transition" recurs and muddies the optics again.</w:t>
      </w:r>
    </w:p>
    <w:p>
      <w:pPr>
        <w:pStyle w:val="BodyText"/>
      </w:pPr>
      <w:r>
        <w:rPr>
          <w:b/>
          <w:bCs/>
        </w:rPr>
        <w:t xml:space="preserve">3. Margins and the Rule of 40.</w:t>
      </w:r>
      <w:r>
        <w:t xml:space="preserve"> </w:t>
      </w:r>
      <w:r>
        <w:t xml:space="preserve">The ~59–60% implied adjusted operating margin is a big Y/Y step-up. Sustaining a Rule of 40 well above 100% is central to the bull case. Keep an eye on operating leverage vs. management's stated intent to keep</w:t>
      </w:r>
      <w:r>
        <w:t xml:space="preserve"> </w:t>
      </w:r>
      <w:r>
        <w:rPr>
          <w:b/>
          <w:bCs/>
        </w:rPr>
        <w:t xml:space="preserve">ramping expenses and hiring elite technical talent</w:t>
      </w:r>
      <w:r>
        <w:t xml:space="preserve"> </w:t>
      </w:r>
      <w:r>
        <w:t xml:space="preserve">in 2026.</w:t>
      </w:r>
    </w:p>
    <w:p>
      <w:pPr>
        <w:pStyle w:val="BodyText"/>
      </w:pPr>
      <w:r>
        <w:rPr>
          <w:b/>
          <w:bCs/>
        </w:rPr>
        <w:t xml:space="preserve">4. Government / defense signals.</w:t>
      </w:r>
      <w:r>
        <w:t xml:space="preserve"> </w:t>
      </w:r>
      <w:r>
        <w:t xml:space="preserve">Maven usage (management said it 4x'd over 12 months), TITAN moving to production, the up-to-$300M USDA award, ShipOS/defense-industrial work, and the ever-present</w:t>
      </w:r>
      <w:r>
        <w:t xml:space="preserve"> </w:t>
      </w:r>
      <w:r>
        <w:rPr>
          <w:b/>
          <w:bCs/>
        </w:rPr>
        <w:t xml:space="preserve">continuing-resolution risk</w:t>
      </w:r>
      <w:r>
        <w:t xml:space="preserve"> </w:t>
      </w:r>
      <w:r>
        <w:t xml:space="preserve">— management itself flagged that a CR is the historical norm and some timing is outside its control.</w:t>
      </w:r>
    </w:p>
    <w:p>
      <w:pPr>
        <w:pStyle w:val="BodyText"/>
      </w:pPr>
      <w:r>
        <w:rPr>
          <w:b/>
          <w:bCs/>
        </w:rPr>
        <w:t xml:space="preserve">5. Net dollar retention &amp; customer adds.</w:t>
      </w:r>
      <w:r>
        <w:t xml:space="preserve"> </w:t>
      </w:r>
      <w:r>
        <w:t xml:space="preserve">NDR jumped to 150%; watch for continued expansion, and note management's caveat that NDR</w:t>
      </w:r>
      <w:r>
        <w:t xml:space="preserve"> </w:t>
      </w:r>
      <w:r>
        <w:rPr>
          <w:i/>
          <w:iCs/>
        </w:rPr>
        <w:t xml:space="preserve">understates</w:t>
      </w:r>
      <w:r>
        <w:t xml:space="preserve"> </w:t>
      </w:r>
      <w:r>
        <w:t xml:space="preserve">momentum because it excludes newly acquired customers.</w:t>
      </w:r>
    </w:p>
    <w:p>
      <w:r>
        <w:pict>
          <v:rect style="width:0;height:1.5pt" o:hralign="center" o:hrstd="t" o:hr="t"/>
        </w:pict>
      </w:r>
    </w:p>
    <w:bookmarkEnd w:id="14"/>
    <w:bookmarkStart w:id="15" w:name="risks--bear-points-to-weigh"/>
    <w:p>
      <w:pPr>
        <w:pStyle w:val="Heading2"/>
      </w:pPr>
      <w:r>
        <w:t xml:space="preserve">Risks &amp; Bear Points to Weigh</w:t>
      </w:r>
    </w:p>
    <w:p>
      <w:pPr>
        <w:pStyle w:val="Compact"/>
        <w:numPr>
          <w:ilvl w:val="0"/>
          <w:numId w:val="1004"/>
        </w:numPr>
      </w:pPr>
      <w:r>
        <w:rPr>
          <w:b/>
          <w:bCs/>
        </w:rPr>
        <w:t xml:space="preserve">Valuation.</w:t>
      </w:r>
      <w:r>
        <w:t xml:space="preserve"> </w:t>
      </w:r>
      <w:r>
        <w:t xml:space="preserve">At ~</w:t>
      </w:r>
      <m:oMath>
        <m:r>
          <m:t>123</m:t>
        </m:r>
        <m:r>
          <m:t>a</m:t>
        </m:r>
        <m:r>
          <m:t>n</m:t>
        </m:r>
        <m:r>
          <m:t>d</m:t>
        </m:r>
        <m:r>
          <m:t> </m:t>
        </m:r>
        <m:r>
          <m:t>2.4</m:t>
        </m:r>
        <m:r>
          <m:t>B</m:t>
        </m:r>
        <m:r>
          <m:t>s</m:t>
        </m:r>
        <m:r>
          <m:t>h</m:t>
        </m:r>
        <m:r>
          <m:t>a</m:t>
        </m:r>
        <m:r>
          <m:t>r</m:t>
        </m:r>
        <m:r>
          <m:t>e</m:t>
        </m:r>
        <m:r>
          <m:t>s</m:t>
        </m:r>
        <m:r>
          <m:rPr>
            <m:sty m:val="p"/>
          </m:rPr>
          <m:t>(</m:t>
        </m:r>
        <m:r>
          <m:t> </m:t>
        </m:r>
      </m:oMath>
      <w:r>
        <w:t xml:space="preserve">295B+ market cap), the stock trades around ~38x FY2026 revenue guidance — an extraordinary multiple that requires flawless execution. As recent coverage put it, the stock has become a battleground, with bulls focused on the company's extremely robust top- and bottom-line growth trajectory and its role as a critical provider of AI technology, while bears worry about an elevated valuation and intensifying competition.</w:t>
      </w:r>
    </w:p>
    <w:p>
      <w:pPr>
        <w:pStyle w:val="Compact"/>
        <w:numPr>
          <w:ilvl w:val="0"/>
          <w:numId w:val="1004"/>
        </w:numPr>
      </w:pPr>
      <w:r>
        <w:rPr>
          <w:b/>
          <w:bCs/>
        </w:rPr>
        <w:t xml:space="preserve">Deceleration optics.</w:t>
      </w:r>
      <w:r>
        <w:t xml:space="preserve"> </w:t>
      </w:r>
      <w:r>
        <w:t xml:space="preserve">Even a strong beat that shows sequential</w:t>
      </w:r>
      <w:r>
        <w:t xml:space="preserve"> </w:t>
      </w:r>
      <w:r>
        <w:rPr>
          <w:i/>
          <w:iCs/>
        </w:rPr>
        <w:t xml:space="preserve">growth-rate</w:t>
      </w:r>
      <w:r>
        <w:t xml:space="preserve"> </w:t>
      </w:r>
      <w:r>
        <w:t xml:space="preserve">deceleration off the 85% peak could pressure the stock given expectations.</w:t>
      </w:r>
    </w:p>
    <w:p>
      <w:pPr>
        <w:pStyle w:val="Compact"/>
        <w:numPr>
          <w:ilvl w:val="0"/>
          <w:numId w:val="1004"/>
        </w:numPr>
      </w:pPr>
      <w:r>
        <w:rPr>
          <w:b/>
          <w:bCs/>
        </w:rPr>
        <w:t xml:space="preserve">Europe/geopolitical headline risk.</w:t>
      </w:r>
      <w:r>
        <w:t xml:space="preserve"> </w:t>
      </w:r>
      <w:r>
        <w:t xml:space="preserve">In June, France's prime minister stated that France intends to develop its own tools and sever ties with Palantir. International commercial (+26% in Q1) is already the soft spot.</w:t>
      </w:r>
    </w:p>
    <w:p>
      <w:pPr>
        <w:pStyle w:val="Compact"/>
        <w:numPr>
          <w:ilvl w:val="0"/>
          <w:numId w:val="1004"/>
        </w:numPr>
      </w:pPr>
      <w:r>
        <w:rPr>
          <w:b/>
          <w:bCs/>
        </w:rPr>
        <w:t xml:space="preserve">Competition from the AI labs</w:t>
      </w:r>
      <w:r>
        <w:t xml:space="preserve"> </w:t>
      </w:r>
      <w:r>
        <w:t xml:space="preserve">moving into the enterprise (OpenAI/Anthropic/Google) — management addressed this directly and dismissively on the last call, but it remains a live bear narrative.</w:t>
      </w:r>
    </w:p>
    <w:p>
      <w:pPr>
        <w:pStyle w:val="Compact"/>
        <w:numPr>
          <w:ilvl w:val="0"/>
          <w:numId w:val="1004"/>
        </w:numPr>
      </w:pPr>
      <w:r>
        <w:rPr>
          <w:b/>
          <w:bCs/>
        </w:rPr>
        <w:t xml:space="preserve">Stock-based compensation &amp; dilution</w:t>
      </w:r>
      <w:r>
        <w:t xml:space="preserve"> </w:t>
      </w:r>
      <w:r>
        <w:t xml:space="preserve">(~$202M SBC in Q1) and the gap between GAAP and adjusted metrics.</w:t>
      </w:r>
    </w:p>
    <w:p>
      <w:pPr>
        <w:pStyle w:val="Compact"/>
        <w:numPr>
          <w:ilvl w:val="0"/>
          <w:numId w:val="1004"/>
        </w:numPr>
      </w:pPr>
      <w:r>
        <w:rPr>
          <w:b/>
          <w:bCs/>
        </w:rPr>
        <w:t xml:space="preserve">Key-man / concentration risk</w:t>
      </w:r>
      <w:r>
        <w:t xml:space="preserve"> </w:t>
      </w:r>
      <w:r>
        <w:t xml:space="preserve">around outspoken leadership and headline sensitivity.</w:t>
      </w:r>
    </w:p>
    <w:p>
      <w:r>
        <w:pict>
          <v:rect style="width:0;height:1.5pt" o:hralign="center" o:hrstd="t" o:hr="t"/>
        </w:pict>
      </w:r>
    </w:p>
    <w:bookmarkEnd w:id="15"/>
    <w:bookmarkStart w:id="16" w:name="the-price-action-going-in"/>
    <w:p>
      <w:pPr>
        <w:pStyle w:val="Heading2"/>
      </w:pPr>
      <w:r>
        <w:t xml:space="preserve">The Price Action Going In</w:t>
      </w:r>
    </w:p>
    <w:p>
      <w:pPr>
        <w:pStyle w:val="FirstParagraph"/>
      </w:pPr>
      <w:r>
        <w:t xml:space="preserve">The stock is arriving at this print in a very different mood than the last one:</w:t>
      </w:r>
    </w:p>
    <w:p>
      <w:pPr>
        <w:pStyle w:val="Compact"/>
        <w:numPr>
          <w:ilvl w:val="0"/>
          <w:numId w:val="1005"/>
        </w:numPr>
      </w:pPr>
      <w:r>
        <w:t xml:space="preserve">Peaked around</w:t>
      </w:r>
      <w:r>
        <w:t xml:space="preserve"> </w:t>
      </w:r>
      <m:oMath>
        <m:r>
          <m:t>160.65</m:t>
        </m:r>
        <m:r>
          <m:t>o</m:t>
        </m:r>
        <m:r>
          <m:t>n</m:t>
        </m:r>
        <m:r>
          <m:t>J</m:t>
        </m:r>
        <m:r>
          <m:t>u</m:t>
        </m:r>
        <m:r>
          <m:t>n</m:t>
        </m:r>
        <m:r>
          <m:t>e</m:t>
        </m:r>
        <m:r>
          <m:t>1</m:t>
        </m:r>
        <m:r>
          <m:rPr>
            <m:sty m:val="p"/>
          </m:rPr>
          <m:t>*</m:t>
        </m:r>
        <m:r>
          <m:rPr>
            <m:sty m:val="p"/>
          </m:rPr>
          <m:t>*</m:t>
        </m:r>
        <m:r>
          <m:rPr>
            <m:sty m:val="p"/>
          </m:rPr>
          <m:t>,</m:t>
        </m:r>
        <m:r>
          <m:t>t</m:t>
        </m:r>
        <m:r>
          <m:t>h</m:t>
        </m:r>
        <m:r>
          <m:t>e</m:t>
        </m:r>
        <m:r>
          <m:t>n</m:t>
        </m:r>
        <m:r>
          <m:t>f</m:t>
        </m:r>
        <m:r>
          <m:t>e</m:t>
        </m:r>
        <m:r>
          <m:t>l</m:t>
        </m:r>
        <m:r>
          <m:t>l</m:t>
        </m:r>
        <m:r>
          <m:t>t</m:t>
        </m:r>
        <m:r>
          <m:t>o</m:t>
        </m:r>
        <m:r>
          <m:t>r</m:t>
        </m:r>
        <m:r>
          <m:t>o</m:t>
        </m:r>
        <m:r>
          <m:t>u</m:t>
        </m:r>
        <m:r>
          <m:t>g</m:t>
        </m:r>
        <m:r>
          <m:t>h</m:t>
        </m:r>
        <m:r>
          <m:t>l</m:t>
        </m:r>
        <m:r>
          <m:t>y</m:t>
        </m:r>
        <m:r>
          <m:rPr>
            <m:sty m:val="p"/>
          </m:rPr>
          <m:t>*</m:t>
        </m:r>
        <m:r>
          <m:rPr>
            <m:sty m:val="p"/>
          </m:rPr>
          <m:t>*</m:t>
        </m:r>
      </m:oMath>
      <w:r>
        <w:rPr>
          <w:b/>
          <w:bCs/>
        </w:rPr>
        <w:t xml:space="preserve">107 by June 25</w:t>
      </w:r>
      <w:r>
        <w:t xml:space="preserve"> </w:t>
      </w:r>
      <w:r>
        <w:t xml:space="preserve">(a ~33% drawdown), recovered toward the mid-$130s in mid-July, and has since rolled over again.</w:t>
      </w:r>
    </w:p>
    <w:p>
      <w:pPr>
        <w:pStyle w:val="Compact"/>
        <w:numPr>
          <w:ilvl w:val="0"/>
          <w:numId w:val="1005"/>
        </w:numPr>
      </w:pPr>
      <w:r>
        <w:t xml:space="preserve">Shares tumbled as much as 10.4% on July 28, marking the stock's worst day in over five months.</w:t>
      </w:r>
    </w:p>
    <w:p>
      <w:pPr>
        <w:pStyle w:val="Compact"/>
        <w:numPr>
          <w:ilvl w:val="0"/>
          <w:numId w:val="1005"/>
        </w:numPr>
      </w:pPr>
      <w:r>
        <w:t xml:space="preserve">Last close in the data (July 31):</w:t>
      </w:r>
      <w:r>
        <w:t xml:space="preserve"> </w:t>
      </w:r>
      <w:r>
        <w:rPr>
          <w:b/>
          <w:bCs/>
        </w:rPr>
        <w:t xml:space="preserve">~$123</w:t>
      </w:r>
      <w:r>
        <w:t xml:space="preserve"> </w:t>
      </w:r>
      <w:r>
        <w:t xml:space="preserve">— down roughly 23% from the June high.</w:t>
      </w:r>
    </w:p>
    <w:p>
      <w:pPr>
        <w:pStyle w:val="FirstParagraph"/>
      </w:pPr>
      <w:r>
        <w:t xml:space="preserve">That drawdown cuts both ways: it has taken some froth off, but it also signals nervous, fast-money positioning and elevated realized volatility into the event. PLTR earnings reactions are routinely large in both directions, so expect an outsized move.</w:t>
      </w:r>
    </w:p>
    <w:p>
      <w:r>
        <w:pict>
          <v:rect style="width:0;height:1.5pt" o:hralign="center" o:hrstd="t" o:hr="t"/>
        </w:pict>
      </w:r>
    </w:p>
    <w:bookmarkEnd w:id="16"/>
    <w:bookmarkStart w:id="17" w:name="bottom-line"/>
    <w:p>
      <w:pPr>
        <w:pStyle w:val="Heading2"/>
      </w:pPr>
      <w:r>
        <w:t xml:space="preserve">Bottom Line</w:t>
      </w:r>
    </w:p>
    <w:p>
      <w:pPr>
        <w:pStyle w:val="FirstParagraph"/>
      </w:pPr>
      <w:r>
        <w:t xml:space="preserve">The fundamental story remains one of the best in software: accelerating ~80–85% growth, ~60% adjusted operating margins, a Rule of 40 near 145%, 150% net retention, and rich free cash flow. Management's guide is almost certainly conservative, and a beat-and-raise is the base case.</w:t>
      </w:r>
      <w:r>
        <w:t xml:space="preserve"> </w:t>
      </w:r>
      <w:r>
        <w:rPr>
          <w:b/>
          <w:bCs/>
        </w:rPr>
        <w:t xml:space="preserve">But the bar that matters isn't the guidance — it's the valuation and elevated expectations.</w:t>
      </w:r>
      <w:r>
        <w:t xml:space="preserve"> </w:t>
      </w:r>
      <w:r>
        <w:t xml:space="preserve">With the stock still expensive and having sold off into the print, the reaction will hinge on (a) the magnitude of the beat, (b) the size of the FY and U.S.-commercial raise, and (c) any crack in the U.S. commercial growth rate or margin trajectory. This is a setup where "great, but not perfect" can still be punished.</w:t>
      </w:r>
    </w:p>
    <w:p>
      <w:pPr>
        <w:pStyle w:val="BodyText"/>
      </w:pPr>
      <w:r>
        <w:rPr>
          <w:i/>
          <w:iCs/>
        </w:rPr>
        <w:t xml:space="preserve">Watch the tape: report is after Monday's close (Aug 3, 2026), with the call at 5:00 PM ET.</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2026-08-03T00:12:16Z</dcterms:created>
  <dcterms:modified xsi:type="dcterms:W3CDTF">2026-08-03T00:12:16Z</dcterms:modified>
</cp:coreProperties>
</file>

<file path=docProps/custom.xml><?xml version="1.0" encoding="utf-8"?>
<Properties xmlns="http://schemas.openxmlformats.org/officeDocument/2006/custom-properties" xmlns:vt="http://schemas.openxmlformats.org/officeDocument/2006/docPropsVTypes"/>
</file>