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ltr-earnings-predictions--2026-08-03"/>
    <w:p>
      <w:pPr>
        <w:pStyle w:val="Heading1"/>
      </w:pPr>
      <w:r>
        <w:t xml:space="preserve">PLTR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Q2'26 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~$1.835B vs. cons $1.799B (company guide $1.797-1.801B)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Q2'26 US Commercial Revenue Growth y/y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~128% vs. cons ~120% y/y growth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Q2'26 Adjusted Operating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~61.5% vs. cons ~60% (company guide implies ~59-60%)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7.85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7.72B (prior guide $7.650-7.662B)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1.95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1.90B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Operating Income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4.75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4.55B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PLTR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PLTR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+2.5% (FADE)</w:t>
            </w:r>
          </w:p>
        </w:tc>
        <w:tc>
          <w:tcPr/>
          <w:p>
            <w:pPr>
              <w:pStyle w:val="Compact"/>
            </w:pPr>
            <w:r>
              <w:t xml:space="preserve">Beat-and-raise is the base case already partly priced in after the Nvidia-driven bounce off the June low, so the initial pop should be real but capped; over the following days, the magnitude of the FY26 raise (likely smaller in points than the unusually large prior-quarter 10pt raise) implies decelerating out-quarter growth math, and lingering valuation (~38-40x revenue), political/appropriations overhang, and European sovereignty-contract noise (France DGSI) give bears reason to fade strength and trim estimates for H2/2027, pulling back part of the day-1 gain even though the headline quarter beats.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2026-08-03T00:13:08Z</dcterms:created>
  <dcterms:modified xsi:type="dcterms:W3CDTF">2026-08-03T00:13:08Z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