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Palantir's recent financials, guidance, and market context before writing the preview.Good, I now have sufficient material. Let me do a couple quick calculations (valuation multiples, price move context) before writing.Now I have all the pieces I need. Let me write the earnings preview.# Palantir Technologies (PLTR) — Q2 2026 Earnings Preview</w:t>
      </w:r>
      <w:r>
        <w:t xml:space="preserve"> </w:t>
      </w:r>
      <w:r>
        <w:rPr>
          <w:b/>
          <w:bCs/>
        </w:rPr>
        <w:t xml:space="preserve">Reports: Monday, August 3, 2026, after market close | Call: 5:00 PM ET</w:t>
      </w:r>
    </w:p>
    <w:bookmarkStart w:id="9" w:name="X04ef27b26e4f99bb1aa2b5819f2c0052bd9a9bb"/>
    <w:p>
      <w:pPr>
        <w:pStyle w:val="Heading2"/>
      </w:pPr>
      <w:r>
        <w:t xml:space="preserve">Setup: A high bar after a historic quarter, into a much weaker stock</w:t>
      </w:r>
    </w:p>
    <w:p>
      <w:pPr>
        <w:pStyle w:val="FirstParagraph"/>
      </w:pPr>
      <w:r>
        <w:t xml:space="preserve">Palantir heads into Monday's print off the back of one of the strongest quarters in its history — and one of the roughest stretches for the stock since going public. After three consecutive years of massive gains, Palantir stock has fallen 27% in 2026 amid broad fears that artificial intelligence could disrupt software, and shares are down 37% from their record closing high of $207.18 set on Nov. 3, 2025. June was brutal in particular — the stock suffered a seven-day losing streak spanning June 16 through June 25 in which shares broke below multiple key levels of technical support, and by June 25 shares had touched a new 12-month low of $107.53, down 31% for the month and 39% for the year, roughly 48% off the November 2025 record high. Shares have since partially recovered (closing around $123 heading into the print) on a Nvidia partnership announcement and a couple of analyst upgrades, but remain well below the highs — leaving a wide dispersion of views on what's priced in.</w:t>
      </w:r>
    </w:p>
    <w:bookmarkEnd w:id="9"/>
    <w:bookmarkStart w:id="10" w:name="what-wall-street-is-modeling"/>
    <w:p>
      <w:pPr>
        <w:pStyle w:val="Heading2"/>
      </w:pPr>
      <w:r>
        <w:t xml:space="preserve">What Wall Street is modeling</w:t>
      </w:r>
    </w:p>
    <w:p>
      <w:pPr>
        <w:pStyle w:val="FirstParagraph"/>
      </w:pPr>
      <w:r>
        <w:t xml:space="preserve">Consensus expects another blowout quarter, though a slight deceleration from Q1's record growth rate: the Street is expecting sales growth of 80% to $1.8 billion, operating margins of approximately 60% (up more than 1,500 basis points year-over-year), and EPS growth of 117% to $0.35. Company guidance is roughly in line:</w:t>
      </w:r>
      <w:r>
        <w:t xml:space="preserve"> </w:t>
      </w:r>
      <w:r>
        <w:rPr>
          <w:b/>
          <w:bCs/>
        </w:rPr>
        <w:t xml:space="preserve">Q2 revenue of</w:t>
      </w:r>
      <w:r>
        <w:rPr>
          <w:b/>
          <w:bCs/>
        </w:rPr>
        <w:t xml:space="preserve"> </w:t>
      </w:r>
      <m:oMath>
        <m:r>
          <m:t>1.797</m:t>
        </m:r>
        <m:r>
          <m:rPr>
            <m:sty m:val="p"/>
          </m:rPr>
          <m:t>–</m:t>
        </m:r>
      </m:oMath>
      <w:r>
        <w:rPr>
          <w:b/>
          <w:bCs/>
        </w:rPr>
        <w:t xml:space="preserve">1.801 billion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adjusted operating income of</w:t>
      </w:r>
      <w:r>
        <w:rPr>
          <w:b/>
          <w:bCs/>
        </w:rPr>
        <w:t xml:space="preserve"> </w:t>
      </w:r>
      <m:oMath>
        <m:r>
          <m:t>1.063</m:t>
        </m:r>
        <m:r>
          <m:rPr>
            <m:sty m:val="p"/>
          </m:rPr>
          <m:t>–</m:t>
        </m:r>
      </m:oMath>
      <w:r>
        <w:rPr>
          <w:b/>
          <w:bCs/>
        </w:rPr>
        <w:t xml:space="preserve">1.067 billion</w:t>
      </w:r>
      <w:r>
        <w:t xml:space="preserve">, per Palantir's own outlook issued alongside Q1 results.</w:t>
      </w:r>
    </w:p>
    <w:p>
      <w:pPr>
        <w:pStyle w:val="BodyText"/>
      </w:pPr>
      <w:r>
        <w:t xml:space="preserve">Sentiment into the print is split but skews bullish among sell-side names covering the stock: Oppenheimer analysts are bullish on the expected results, anticipating an 85% year-over-year revenue beat and an outlook raise, even as shares tumbled as much as 10.4% in the days leading into earnings, marking the stock's worst day in over five months. More broadly, the stock carries an average "Overweight" rating with a $189.87 price target — implying meaningful upside — with 17 of 33 firms rating it Buy, three Overweight, 11 Hold and two Sell (as of late June).</w:t>
      </w:r>
    </w:p>
    <w:bookmarkEnd w:id="10"/>
    <w:bookmarkStart w:id="11" w:name="X1807f5ab7814fa36b91e1558fb3f062e1421ecb"/>
    <w:p>
      <w:pPr>
        <w:pStyle w:val="Heading2"/>
      </w:pPr>
      <w:r>
        <w:t xml:space="preserve">The Q1 base case investors are extrapolating from</w:t>
      </w:r>
    </w:p>
    <w:p>
      <w:pPr>
        <w:pStyle w:val="FirstParagraph"/>
      </w:pPr>
      <w:r>
        <w:t xml:space="preserve">Q1 2026 was, by the company's own description, a record-setter. Highlights: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Revenue</w:t>
      </w:r>
      <w:r>
        <w:t xml:space="preserve"> </w:t>
      </w:r>
      <w:r>
        <w:t xml:space="preserve">grew</w:t>
      </w:r>
      <w:r>
        <w:t xml:space="preserve"> </w:t>
      </w:r>
      <w:r>
        <w:rPr>
          <w:b/>
          <w:bCs/>
        </w:rPr>
        <w:t xml:space="preserve">85% y/y and 16% q/q to $1.633 billion</w:t>
      </w:r>
      <w:r>
        <w:t xml:space="preserve"> </w:t>
      </w:r>
      <w:r>
        <w:t xml:space="preserve">— Palantir's highest-ever reported growth rate as a public company.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U.S. business</w:t>
      </w:r>
      <w:r>
        <w:t xml:space="preserve"> </w:t>
      </w:r>
      <w:r>
        <w:t xml:space="preserve">(79% of total revenue) surpassed</w:t>
      </w:r>
      <w:r>
        <w:t xml:space="preserve"> </w:t>
      </w:r>
      <w:r>
        <w:rPr>
          <w:b/>
          <w:bCs/>
        </w:rPr>
        <w:t xml:space="preserve">100% y/y growth for the first time</w:t>
      </w:r>
      <w:r>
        <w:t xml:space="preserve">, up</w:t>
      </w:r>
      <w:r>
        <w:t xml:space="preserve"> </w:t>
      </w:r>
      <w:r>
        <w:rPr>
          <w:b/>
          <w:bCs/>
        </w:rPr>
        <w:t xml:space="preserve">104% y/y / 19% q/q to $1.282 billion</w:t>
      </w:r>
      <w:r>
        <w:t xml:space="preserve">; U.S. commercial grew</w:t>
      </w:r>
      <w:r>
        <w:t xml:space="preserve"> </w:t>
      </w:r>
      <w:r>
        <w:rPr>
          <w:b/>
          <w:bCs/>
        </w:rPr>
        <w:t xml:space="preserve">133% y/y</w:t>
      </w:r>
      <w:r>
        <w:t xml:space="preserve">, U.S. government</w:t>
      </w:r>
      <w:r>
        <w:t xml:space="preserve"> </w:t>
      </w:r>
      <w:r>
        <w:rPr>
          <w:b/>
          <w:bCs/>
        </w:rPr>
        <w:t xml:space="preserve">84% y/y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Rule of 40 score</w:t>
      </w:r>
      <w:r>
        <w:t xml:space="preserve"> </w:t>
      </w:r>
      <w:r>
        <w:t xml:space="preserve">hit</w:t>
      </w:r>
      <w:r>
        <w:t xml:space="preserve"> </w:t>
      </w:r>
      <w:r>
        <w:rPr>
          <w:b/>
          <w:bCs/>
        </w:rPr>
        <w:t xml:space="preserve">145%</w:t>
      </w:r>
      <w:r>
        <w:t xml:space="preserve">, up from 127% in Q4 — a level CEO Alex Karp likened to “Palantir's Rule of 40 score has soared to 145%. We have shattered the metric, a feat matched only by other fellow AI infrastructure companies: NVIDIA, Micron and SK hynix.”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Margins/cash flow:</w:t>
      </w:r>
      <w:r>
        <w:t xml:space="preserve"> </w:t>
      </w:r>
      <w:r>
        <w:t xml:space="preserve">adjusted operating margin of 60%, GAAP net margin of 53%, adjusted free cash flow margin of 57%, and</w:t>
      </w:r>
      <w:r>
        <w:t xml:space="preserve"> </w:t>
      </w:r>
      <w:r>
        <w:rPr>
          <w:b/>
          <w:bCs/>
        </w:rPr>
        <w:t xml:space="preserve">$8.0 billion</w:t>
      </w:r>
      <w:r>
        <w:t xml:space="preserve"> </w:t>
      </w:r>
      <w:r>
        <w:t xml:space="preserve">of cash/short-term treasuries on the balance sheet.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Bookings/backlog:</w:t>
      </w:r>
      <w:r>
        <w:t xml:space="preserve"> </w:t>
      </w:r>
      <w:r>
        <w:t xml:space="preserve">$2.41B of closed TCV (+61% y/y), U.S. commercial RDV of $4.92B (+112% y/y), RPO up 134% y/y to $4.5B, and</w:t>
      </w:r>
      <w:r>
        <w:t xml:space="preserve"> </w:t>
      </w:r>
      <w:r>
        <w:rPr>
          <w:b/>
          <w:bCs/>
        </w:rPr>
        <w:t xml:space="preserve">net dollar retention of 150%</w:t>
      </w:r>
      <w:r>
        <w:t xml:space="preserve"> </w:t>
      </w:r>
      <w:r>
        <w:t xml:space="preserve">(+1,100 bps q/q).</w:t>
      </w:r>
    </w:p>
    <w:p>
      <w:pPr>
        <w:pStyle w:val="Compact"/>
        <w:numPr>
          <w:ilvl w:val="0"/>
          <w:numId w:val="1001"/>
        </w:numPr>
      </w:pPr>
      <w:r>
        <w:t xml:space="preserve">Off that strength, management</w:t>
      </w:r>
      <w:r>
        <w:t xml:space="preserve"> </w:t>
      </w:r>
      <w:r>
        <w:rPr>
          <w:b/>
          <w:bCs/>
        </w:rPr>
        <w:t xml:space="preserve">raised full-year 2026 revenue guidance to</w:t>
      </w:r>
      <w:r>
        <w:rPr>
          <w:b/>
          <w:bCs/>
        </w:rPr>
        <w:t xml:space="preserve"> </w:t>
      </w:r>
      <m:oMath>
        <m:r>
          <m:t>7.650</m:t>
        </m:r>
        <m:r>
          <m:rPr>
            <m:sty m:val="p"/>
          </m:rPr>
          <m:t>–</m:t>
        </m:r>
      </m:oMath>
      <w:r>
        <w:rPr>
          <w:b/>
          <w:bCs/>
        </w:rPr>
        <w:t xml:space="preserve">7.662 billion (71% y/y growth)</w:t>
      </w:r>
      <w:r>
        <w:t xml:space="preserve"> </w:t>
      </w:r>
      <w:r>
        <w:t xml:space="preserve">— a 10-point raise from the prior quarter's guide, and raised U.S. commercial revenue guidance to</w:t>
      </w:r>
      <w:r>
        <w:t xml:space="preserve"> </w:t>
      </w:r>
      <w:r>
        <w:rPr>
          <w:b/>
          <w:bCs/>
        </w:rPr>
        <w:t xml:space="preserve">"in excess of $3.224 billion," (+120%+ y/y)</w:t>
      </w:r>
      <w:r>
        <w:t xml:space="preserve">.</w:t>
      </w:r>
    </w:p>
    <w:p>
      <w:pPr>
        <w:pStyle w:val="FirstParagraph"/>
      </w:pPr>
      <w:r>
        <w:t xml:space="preserve">The bull case going into Q2 is essentially: can this acceleration continue for an 11th–12th consecutive quarter, and does the FY26 guide get raised again? Management flagged that its "biggest problem" is capacity/demand rather than sales effort, and specific customer references (AIG's agentic underwriting build, GE Aerospace, ShipOS with the Navy, a $300M USDA award, Maven usage "4x over the past 12 months") were used to reinforce durability.</w:t>
      </w:r>
    </w:p>
    <w:bookmarkEnd w:id="11"/>
    <w:bookmarkStart w:id="12" w:name="key-swing-factors-for-q2"/>
    <w:p>
      <w:pPr>
        <w:pStyle w:val="Heading2"/>
      </w:pPr>
      <w:r>
        <w:t xml:space="preserve">Key swing factors for Q2</w:t>
      </w:r>
    </w:p>
    <w:p>
      <w:pPr>
        <w:pStyle w:val="FirstParagraph"/>
      </w:pPr>
      <w:r>
        <w:rPr>
          <w:b/>
          <w:bCs/>
        </w:rPr>
        <w:t xml:space="preserve">1. Government/political overhang.</w:t>
      </w:r>
      <w:r>
        <w:t xml:space="preserve"> </w:t>
      </w:r>
      <w:r>
        <w:t xml:space="preserve">Shares wobbled in early July after a Financial Times report raised concerns about the company's political standing and how Democratic lawmakers could potentially target Palantir, imperiling its business with the U.S. government — Palantir pushed back publicly, noting it has worked with the U.S. government and its allies across five administrations. Watch for management commentary on the durability of bipartisan government demand, appropriations/continuing-resolution risk (flagged on the Q1 call by CTO Shyam Sankar as a perennial, largely un-controllable variable), and Maven/TITAN program funding.</w:t>
      </w:r>
    </w:p>
    <w:p>
      <w:pPr>
        <w:pStyle w:val="BodyText"/>
      </w:pPr>
      <w:r>
        <w:rPr>
          <w:b/>
          <w:bCs/>
        </w:rPr>
        <w:t xml:space="preserve">2. International/sovereignty pushback.</w:t>
      </w:r>
      <w:r>
        <w:t xml:space="preserve"> </w:t>
      </w:r>
      <w:r>
        <w:t xml:space="preserve">Europe is showing signs of "AI sovereignty" friction: France's domestic intelligence agency, DGSI, is replacing Palantir's data tools with a local alternative from Chapsvision as part of a French push to promote sovereign technology, with civil servants to get access to a Mistral-powered AI assistant instead. The UK's NHS data contract has also faced review pressure. International commercial/government revenue is a small slice of the mix (Q1 international commercial was $179M, +26% y/y) but the optics matter for the "critical Western infrastructure" narrative Karp leans on.</w:t>
      </w:r>
    </w:p>
    <w:p>
      <w:pPr>
        <w:pStyle w:val="BodyText"/>
      </w:pPr>
      <w:r>
        <w:rPr>
          <w:b/>
          <w:bCs/>
        </w:rPr>
        <w:t xml:space="preserve">3. Competitive/AI-disruption narrative.</w:t>
      </w:r>
      <w:r>
        <w:t xml:space="preserve"> </w:t>
      </w:r>
      <w:r>
        <w:t xml:space="preserve">The stock's 2026 drawdown has been driven less by fundamentals and more by fears that cheaper frontier models and AI-native competitors could commoditize the software layer Palantir sits on. Management's counter (reiterated repeatedly on the Q1 call) is the "Ontology"/AIP governance layer and Jevons-paradox argument that cheaper tokens increase, not decrease, demand for Palantir's orchestration layer. The June/July Nvidia partnership to build custom government AI models was explicitly framed as reinforcing this moat, and helped snap the June losing streak — investors pushed shares higher after the company announced a new strategic initiative with Nvidia to build custom AI models for the U.S. government, though the stock has since given back some of that bounce.</w:t>
      </w:r>
    </w:p>
    <w:p>
      <w:pPr>
        <w:pStyle w:val="BodyText"/>
      </w:pPr>
      <w:r>
        <w:rPr>
          <w:b/>
          <w:bCs/>
        </w:rPr>
        <w:t xml:space="preserve">4. Valuation remains the central bear argument.</w:t>
      </w:r>
      <w:r>
        <w:t xml:space="preserve"> </w:t>
      </w:r>
      <w:r>
        <w:t xml:space="preserve">Even after the pullback, PLTR trades at roughly</w:t>
      </w:r>
      <w:r>
        <w:t xml:space="preserve"> </w:t>
      </w:r>
      <w:r>
        <w:rPr>
          <w:b/>
          <w:bCs/>
        </w:rPr>
        <w:t xml:space="preserve">38–41x</w:t>
      </w:r>
      <w:r>
        <w:t xml:space="preserve"> </w:t>
      </w:r>
      <w:r>
        <w:t xml:space="preserve">the FY26 consensus revenue guide (~</w:t>
      </w:r>
      <m:oMath>
        <m:r>
          <m:t>7.66</m:t>
        </m:r>
        <m:r>
          <m:t>B</m:t>
        </m:r>
        <m:r>
          <m:rPr>
            <m:sty m:val="p"/>
          </m:rPr>
          <m:t>)</m:t>
        </m:r>
        <m:r>
          <m:t>a</m:t>
        </m:r>
        <m:r>
          <m:t>n</m:t>
        </m:r>
        <m:r>
          <m:t>d</m:t>
        </m:r>
        <m:r>
          <m:t>a</m:t>
        </m:r>
        <m:r>
          <m:t>m</m:t>
        </m:r>
        <m:r>
          <m:t>a</m:t>
        </m:r>
        <m:r>
          <m:t>r</m:t>
        </m:r>
        <m:r>
          <m:t>k</m:t>
        </m:r>
        <m:r>
          <m:t>e</m:t>
        </m:r>
        <m:r>
          <m:t>t</m:t>
        </m:r>
        <m:r>
          <m:t>c</m:t>
        </m:r>
        <m:r>
          <m:t>a</m:t>
        </m:r>
        <m:r>
          <m:t>p</m:t>
        </m:r>
        <m:r>
          <m:t>n</m:t>
        </m:r>
        <m:r>
          <m:t>e</m:t>
        </m:r>
        <m:r>
          <m:t>a</m:t>
        </m:r>
        <m:r>
          <m:t>r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295–316B** at a ~$123 share price — among the richest multiples in software/AI infrastructure. Any miss, deceleration in U.S. commercial growth, or softer-than-expected guidance raise is likely to be punished given how much perfection is still priced in, while a beat-and-raise repeat of Q1 could reignite the bull case quickly given how far shares have fallen from the November 2025 high.</w:t>
      </w:r>
    </w:p>
    <w:p>
      <w:pPr>
        <w:pStyle w:val="BodyText"/>
      </w:pPr>
      <w:r>
        <w:rPr>
          <w:b/>
          <w:bCs/>
        </w:rPr>
        <w:t xml:space="preserve">5. Diversification proof points.</w:t>
      </w:r>
      <w:r>
        <w:t xml:space="preserve"> </w:t>
      </w:r>
      <w:r>
        <w:t xml:space="preserve">Palantir has been pushing to broaden its commercial base beyond the Pentagon and top government accounts — e.g., its first Mexican commercial client win with insurer GNP Seguros — a data point bulls will want to see repeated in new logos/expansion this quarter.</w:t>
      </w:r>
    </w:p>
    <w:bookmarkEnd w:id="12"/>
    <w:bookmarkStart w:id="13" w:name="what-to-watch-on-the-call"/>
    <w:p>
      <w:pPr>
        <w:pStyle w:val="Heading2"/>
      </w:pPr>
      <w:r>
        <w:t xml:space="preserve">What to watch on the call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U.S. commercial growth rate</w:t>
      </w:r>
      <w:r>
        <w:t xml:space="preserve"> </w:t>
      </w:r>
      <w:r>
        <w:t xml:space="preserve">(133% y/y in Q1) — deceleration vs. acceleration is the single most-watched KPI given it's the growth engine the market is paying up for.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Net dollar retention</w:t>
      </w:r>
      <w:r>
        <w:t xml:space="preserve"> </w:t>
      </w:r>
      <w:r>
        <w:t xml:space="preserve">trend off the 150% Q1 print.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Rule of 40 / adjusted operating margin</w:t>
      </w:r>
      <w:r>
        <w:t xml:space="preserve"> </w:t>
      </w:r>
      <w:r>
        <w:t xml:space="preserve">trajectory — full-year guide implies a Rule of 40 of ~129%, below Q1's 145%, so any further upside surprise matters.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TCV bookings and RPO</w:t>
      </w:r>
      <w:r>
        <w:t xml:space="preserve"> </w:t>
      </w:r>
      <w:r>
        <w:t xml:space="preserve">growth as leading indicators of forward revenue.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Commentary on government funding risk</w:t>
      </w:r>
      <w:r>
        <w:t xml:space="preserve"> </w:t>
      </w:r>
      <w:r>
        <w:t xml:space="preserve">(appropriations, CR risk) and the political overhang highlighted by the FT report.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Any explicit reference to European contract losses</w:t>
      </w:r>
      <w:r>
        <w:t xml:space="preserve"> </w:t>
      </w:r>
      <w:r>
        <w:t xml:space="preserve">(France DGSI) and whether management sees broader sovereignty-driven attrition risk internationally.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Guidance cadence</w:t>
      </w:r>
      <w:r>
        <w:t xml:space="preserve"> </w:t>
      </w:r>
      <w:r>
        <w:t xml:space="preserve">— does management raise FY26 revenue guidance again (as it did materially last quarter), and by how much, given Q2 guide of $1.797–1.801B already implies ~76-77% y/y growth at the low end.</w:t>
      </w:r>
    </w:p>
    <w:bookmarkEnd w:id="13"/>
    <w:bookmarkStart w:id="14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Palantir goes into Monday's print as a "battleground stock": bulls are focused on the company's extremely robust top and bottom-line growth trajectory and its role as a critical provider of AI technology, while bears worry about an elevated valuation and intensifying competition. The fundamental story — accelerating U.S. growth, expanding margins, a Rule of 40 score matched by few other companies — remains intact based on Q1's results and guidance. The stock's 2026 underperformance has been more about multiple compression amid AI-disruption fears and political/international noise than about any crack in the underlying numbers. A clean beat-and-raise, particularly on U.S. commercial growth and full-year guidance, would likely be read as validation that the sell-off was overdone; anything short of that — especially commentary suggesting government funding friction or European contract erosion is spreading — risks reigniting the valuation debate that has weighed on shares since June.</w:t>
      </w:r>
    </w:p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2026-08-03T00:13:07Z</dcterms:created>
  <dcterms:modified xsi:type="dcterms:W3CDTF">2026-08-03T00:13:07Z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