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ltr-earnings-predictions--2026-08-03"/>
    <w:p>
      <w:pPr>
        <w:pStyle w:val="Heading1"/>
      </w:pPr>
      <w:r>
        <w:t xml:space="preserve">PLTR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~$1.90B vs. cons $1.81B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~$1.16B vs. cons $1.09B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~$0.37 vs. cons $0.35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~$2.12B vs. cons $2.00B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~$7.95B vs. cons $7.70B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U.S. commercial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~$3.45B vs. cons $3.35B (FY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~$4.75B vs. cons $4.62B (FY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FY 2026 revenue guide of ~$7.95B versus consensus of</w:t>
            </w:r>
            <w:r>
              <w:t xml:space="preserve"> </w:t>
            </w:r>
            <m:oMath>
              <m:r>
                <m:t>7.70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o</m:t>
              </m:r>
              <m:r>
                <m:t>m</m:t>
              </m:r>
              <m:r>
                <m:t>b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Q</m:t>
              </m:r>
              <m:r>
                <m:t>3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2.12B versus $2.00B, implies roughly</w:t>
            </w:r>
            <w:r>
              <w:t xml:space="preserve"> </w:t>
            </w:r>
            <m:oMath>
              <m:r>
                <m:t>2.30</m:t>
              </m:r>
              <m:r>
                <m:t>B</m:t>
              </m:r>
              <m:r>
                <m:t>f</m:t>
              </m:r>
              <m:r>
                <m:t>o</m:t>
              </m:r>
              <m:r>
                <m:t>r</m:t>
              </m:r>
              <m:r>
                <m:t>Q</m:t>
              </m:r>
              <m:r>
                <m:t>4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 </m:t>
              </m:r>
            </m:oMath>
            <w:r>
              <w:t xml:space="preserve">1.90B Q2 result—above the approximately $2.26B pre-report consensus embedded in the out-period math. That should drive upward revisions after the initial reaction, although valuation limits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2026-08-03T00:14:30Z</dcterms:created>
  <dcterms:modified xsi:type="dcterms:W3CDTF">2026-08-03T00:14:30Z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