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palantir-q2-2026-earnings-preview"/>
    <w:p>
      <w:pPr>
        <w:pStyle w:val="Heading1"/>
      </w:pPr>
      <w:r>
        <w:t xml:space="preserve">Palantir Q2 2026 Earnings Preview</w:t>
      </w:r>
    </w:p>
    <w:p>
      <w:pPr>
        <w:pStyle w:val="BlockText"/>
      </w:pPr>
      <w:r>
        <w:rPr>
          <w:b/>
          <w:bCs/>
        </w:rPr>
        <w:t xml:space="preserve">Timing note:</w:t>
      </w:r>
      <w:r>
        <w:t xml:space="preserve"> </w:t>
      </w:r>
      <w:r>
        <w:t xml:space="preserve">Palantir has scheduled its Q2 results for</w:t>
      </w:r>
      <w:r>
        <w:t xml:space="preserve"> </w:t>
      </w:r>
      <w:r>
        <w:rPr>
          <w:b/>
          <w:bCs/>
        </w:rPr>
        <w:t xml:space="preserve">Monday, August 3, 2026, after the U.S. market close</w:t>
      </w:r>
      <w:r>
        <w:t xml:space="preserve">, with the earnings call at</w:t>
      </w:r>
      <w:r>
        <w:t xml:space="preserve"> </w:t>
      </w:r>
      <w:r>
        <w:rPr>
          <w:b/>
          <w:bCs/>
        </w:rPr>
        <w:t xml:space="preserve">5:00 p.m. ET</w:t>
      </w:r>
      <w:r>
        <w:t xml:space="preserve">. Given today’s date, the company reports</w:t>
      </w:r>
      <w:r>
        <w:t xml:space="preserve"> </w:t>
      </w:r>
      <w:r>
        <w:rPr>
          <w:b/>
          <w:bCs/>
        </w:rPr>
        <w:t xml:space="preserve">today</w:t>
      </w:r>
      <w:r>
        <w:t xml:space="preserve">, not tomorrow.</w:t>
      </w:r>
    </w:p>
    <w:bookmarkStart w:id="9" w:name="the-setup"/>
    <w:p>
      <w:pPr>
        <w:pStyle w:val="Heading2"/>
      </w:pPr>
      <w:r>
        <w:t xml:space="preserve">The setup</w:t>
      </w:r>
    </w:p>
    <w:p>
      <w:pPr>
        <w:pStyle w:val="FirstParagraph"/>
      </w:pPr>
      <w:r>
        <w:t xml:space="preserve">Palantir enters Q2 with extraordinary operating momentum—and a valuation that still leaves little room for ordinary execution.</w:t>
      </w:r>
    </w:p>
    <w:p>
      <w:pPr>
        <w:pStyle w:val="BodyText"/>
      </w:pPr>
      <w:r>
        <w:t xml:space="preserve">In Q1, revenue accelerated to</w:t>
      </w:r>
      <w:r>
        <w:t xml:space="preserve"> </w:t>
      </w:r>
      <w:r>
        <w:rPr>
          <w:b/>
          <w:bCs/>
        </w:rPr>
        <w:t xml:space="preserve">85% year over year</w:t>
      </w:r>
      <w:r>
        <w:t xml:space="preserve">, U.S. revenue more than doubled, adjusted operating margin reached</w:t>
      </w:r>
      <w:r>
        <w:t xml:space="preserve"> </w:t>
      </w:r>
      <w:r>
        <w:rPr>
          <w:b/>
          <w:bCs/>
        </w:rPr>
        <w:t xml:space="preserve">60%</w:t>
      </w:r>
      <w:r>
        <w:t xml:space="preserve">, and management raised its full-year growth outlook by ten percentage points. The challenge for this report is that investors already expect another beat and raise. Simply landing near formal guidance may therefore be treated as a disappointment.</w:t>
      </w:r>
    </w:p>
    <w:p>
      <w:pPr>
        <w:pStyle w:val="BodyText"/>
      </w:pPr>
      <w:r>
        <w:t xml:space="preserve">Recent reporting puts the Street around:</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Q2 metric</w:t>
            </w:r>
          </w:p>
        </w:tc>
        <w:tc>
          <w:tcPr/>
          <w:p>
            <w:pPr>
              <w:pStyle w:val="Compact"/>
              <w:jc w:val="right"/>
            </w:pPr>
            <w:r>
              <w:t xml:space="preserve">Street expectation</w:t>
            </w:r>
          </w:p>
        </w:tc>
        <w:tc>
          <w:tcPr/>
          <w:p>
            <w:pPr>
              <w:pStyle w:val="Compact"/>
              <w:jc w:val="right"/>
            </w:pPr>
            <w:r>
              <w:t xml:space="preserve">Palantir guidance</w:t>
            </w:r>
          </w:p>
        </w:tc>
        <w:tc>
          <w:tcPr/>
          <w:p>
            <w:pPr>
              <w:pStyle w:val="Compact"/>
              <w:jc w:val="right"/>
            </w:pPr>
            <w:r>
              <w:t xml:space="preserve">Q2 2025</w:t>
            </w:r>
          </w:p>
        </w:tc>
      </w:tr>
      <w:tr>
        <w:tc>
          <w:tcPr/>
          <w:p>
            <w:pPr>
              <w:pStyle w:val="Compact"/>
            </w:pPr>
            <w:r>
              <w:t xml:space="preserve">Revenue</w:t>
            </w:r>
          </w:p>
        </w:tc>
        <w:tc>
          <w:tcPr/>
          <w:p>
            <w:pPr>
              <w:pStyle w:val="Compact"/>
              <w:jc w:val="right"/>
            </w:pPr>
            <w:r>
              <w:t xml:space="preserve">Approximately</w:t>
            </w:r>
            <w:r>
              <w:t xml:space="preserve"> </w:t>
            </w:r>
            <w:r>
              <w:rPr>
                <w:b/>
                <w:bCs/>
              </w:rPr>
              <w:t xml:space="preserve">$1.80B</w:t>
            </w:r>
          </w:p>
        </w:tc>
        <w:tc>
          <w:tcPr/>
          <w:p>
            <w:pPr>
              <w:pStyle w:val="Compact"/>
              <w:jc w:val="right"/>
            </w:pPr>
            <m:oMath>
              <m:r>
                <m:t>1.797</m:t>
              </m:r>
              <m:r>
                <m:t>B</m:t>
              </m:r>
              <m:r>
                <m:rPr>
                  <m:sty m:val="p"/>
                </m:rPr>
                <m:t>–</m:t>
              </m:r>
            </m:oMath>
            <w:r>
              <w:rPr>
                <w:b/>
                <w:bCs/>
              </w:rPr>
              <w:t xml:space="preserve">1.801B</w:t>
            </w:r>
          </w:p>
        </w:tc>
        <w:tc>
          <w:tcPr/>
          <w:p>
            <w:pPr>
              <w:pStyle w:val="Compact"/>
              <w:jc w:val="right"/>
            </w:pPr>
            <w:r>
              <w:t xml:space="preserve">$1.004B</w:t>
            </w:r>
          </w:p>
        </w:tc>
      </w:tr>
      <w:tr>
        <w:tc>
          <w:tcPr/>
          <w:p>
            <w:pPr>
              <w:pStyle w:val="Compact"/>
            </w:pPr>
            <w:r>
              <w:t xml:space="preserve">Revenue growth</w:t>
            </w:r>
          </w:p>
        </w:tc>
        <w:tc>
          <w:tcPr/>
          <w:p>
            <w:pPr>
              <w:pStyle w:val="Compact"/>
              <w:jc w:val="right"/>
            </w:pPr>
            <w:r>
              <w:t xml:space="preserve">Approximately</w:t>
            </w:r>
            <w:r>
              <w:t xml:space="preserve"> </w:t>
            </w:r>
            <w:r>
              <w:rPr>
                <w:b/>
                <w:bCs/>
              </w:rPr>
              <w:t xml:space="preserve">80%</w:t>
            </w:r>
          </w:p>
        </w:tc>
        <w:tc>
          <w:tcPr/>
          <w:p>
            <w:pPr>
              <w:pStyle w:val="Compact"/>
              <w:jc w:val="right"/>
            </w:pPr>
            <w:r>
              <w:t xml:space="preserve">Approximately</w:t>
            </w:r>
            <w:r>
              <w:t xml:space="preserve"> </w:t>
            </w:r>
            <w:r>
              <w:rPr>
                <w:b/>
                <w:bCs/>
              </w:rPr>
              <w:t xml:space="preserve">79%</w:t>
            </w:r>
            <w:r>
              <w:t xml:space="preserve"> </w:t>
            </w:r>
            <w:r>
              <w:t xml:space="preserve">at midpoint</w:t>
            </w:r>
          </w:p>
        </w:tc>
        <w:tc>
          <w:tcPr/>
          <w:p>
            <w:pPr>
              <w:pStyle w:val="Compact"/>
              <w:jc w:val="right"/>
            </w:pPr>
            <w:r>
              <w:t xml:space="preserve">48%</w:t>
            </w:r>
          </w:p>
        </w:tc>
      </w:tr>
      <w:tr>
        <w:tc>
          <w:tcPr/>
          <w:p>
            <w:pPr>
              <w:pStyle w:val="Compact"/>
            </w:pPr>
            <w:r>
              <w:t xml:space="preserve">Adjusted operating margin</w:t>
            </w:r>
          </w:p>
        </w:tc>
        <w:tc>
          <w:tcPr/>
          <w:p>
            <w:pPr>
              <w:pStyle w:val="Compact"/>
              <w:jc w:val="right"/>
            </w:pPr>
            <w:r>
              <w:t xml:space="preserve">Approximately</w:t>
            </w:r>
            <w:r>
              <w:t xml:space="preserve"> </w:t>
            </w:r>
            <w:r>
              <w:rPr>
                <w:b/>
                <w:bCs/>
              </w:rPr>
              <w:t xml:space="preserve">60%</w:t>
            </w:r>
          </w:p>
        </w:tc>
        <w:tc>
          <w:tcPr/>
          <w:p>
            <w:pPr>
              <w:pStyle w:val="Compact"/>
              <w:jc w:val="right"/>
            </w:pPr>
            <w:r>
              <w:t xml:space="preserve">Approximately</w:t>
            </w:r>
            <w:r>
              <w:t xml:space="preserve"> </w:t>
            </w:r>
            <w:r>
              <w:rPr>
                <w:b/>
                <w:bCs/>
              </w:rPr>
              <w:t xml:space="preserve">59%</w:t>
            </w:r>
            <w:r>
              <w:t xml:space="preserve"> </w:t>
            </w:r>
            <w:r>
              <w:t xml:space="preserve">at midpoint</w:t>
            </w:r>
          </w:p>
        </w:tc>
        <w:tc>
          <w:tcPr/>
          <w:p>
            <w:pPr>
              <w:pStyle w:val="Compact"/>
              <w:jc w:val="right"/>
            </w:pPr>
            <w:r>
              <w:t xml:space="preserve">46%</w:t>
            </w:r>
          </w:p>
        </w:tc>
      </w:tr>
      <w:tr>
        <w:tc>
          <w:tcPr/>
          <w:p>
            <w:pPr>
              <w:pStyle w:val="Compact"/>
            </w:pPr>
            <w:r>
              <w:t xml:space="preserve">Adjusted EPS</w:t>
            </w:r>
          </w:p>
        </w:tc>
        <w:tc>
          <w:tcPr/>
          <w:p>
            <w:pPr>
              <w:pStyle w:val="Compact"/>
              <w:jc w:val="right"/>
            </w:pPr>
            <w:r>
              <w:t xml:space="preserve">Approximately</w:t>
            </w:r>
            <w:r>
              <w:t xml:space="preserve"> </w:t>
            </w:r>
            <w:r>
              <w:rPr>
                <w:b/>
                <w:bCs/>
              </w:rPr>
              <w:t xml:space="preserve">$0.35</w:t>
            </w:r>
          </w:p>
        </w:tc>
        <w:tc>
          <w:tcPr/>
          <w:p>
            <w:pPr>
              <w:pStyle w:val="Compact"/>
              <w:jc w:val="right"/>
            </w:pPr>
            <w:r>
              <w:t xml:space="preserve">Not formally guided</w:t>
            </w:r>
          </w:p>
        </w:tc>
        <w:tc>
          <w:tcPr/>
          <w:p>
            <w:pPr>
              <w:pStyle w:val="Compact"/>
              <w:jc w:val="right"/>
            </w:pPr>
            <w:r>
              <w:t xml:space="preserve">$0.16</w:t>
            </w:r>
          </w:p>
        </w:tc>
      </w:tr>
    </w:tbl>
    <w:p>
      <w:pPr>
        <w:pStyle w:val="BodyText"/>
      </w:pPr>
      <w:r>
        <w:t xml:space="preserve">The guidance midpoint implies roughly</w:t>
      </w:r>
      <w:r>
        <w:t xml:space="preserve"> </w:t>
      </w:r>
      <w:r>
        <w:rPr>
          <w:b/>
          <w:bCs/>
        </w:rPr>
        <w:t xml:space="preserve">10% sequential revenue growth</w:t>
      </w:r>
      <w:r>
        <w:t xml:space="preserve">, following 16% sequential growth in Q1.</w:t>
      </w:r>
    </w:p>
    <w:bookmarkEnd w:id="9"/>
    <w:bookmarkStart w:id="15" w:name="what-matters-most"/>
    <w:p>
      <w:pPr>
        <w:pStyle w:val="Heading2"/>
      </w:pPr>
      <w:r>
        <w:t xml:space="preserve">What matters most</w:t>
      </w:r>
    </w:p>
    <w:bookmarkStart w:id="10" w:name="X1a360acbd67c1d68848a9de9e53f070679b739a"/>
    <w:p>
      <w:pPr>
        <w:pStyle w:val="Heading3"/>
      </w:pPr>
      <w:r>
        <w:t xml:space="preserve">1. U.S. commercial growth is the central KPI</w:t>
      </w:r>
    </w:p>
    <w:p>
      <w:pPr>
        <w:pStyle w:val="FirstParagraph"/>
      </w:pPr>
      <w:r>
        <w:t xml:space="preserve">U.S. commercial revenue grew</w:t>
      </w:r>
      <w:r>
        <w:t xml:space="preserve"> </w:t>
      </w:r>
      <w:r>
        <w:rPr>
          <w:b/>
          <w:bCs/>
        </w:rPr>
        <w:t xml:space="preserve">133%</w:t>
      </w:r>
      <w:r>
        <w:t xml:space="preserve"> </w:t>
      </w:r>
      <w:r>
        <w:t xml:space="preserve">in Q1 to</w:t>
      </w:r>
      <w:r>
        <w:t xml:space="preserve"> </w:t>
      </w:r>
      <m:oMath>
        <m:r>
          <m:t>595</m:t>
        </m:r>
        <m:r>
          <m:t>m</m:t>
        </m:r>
        <m:r>
          <m:t>i</m:t>
        </m:r>
        <m:r>
          <m:t>l</m:t>
        </m:r>
        <m:r>
          <m:t>l</m:t>
        </m:r>
        <m:r>
          <m:t>i</m:t>
        </m:r>
        <m:r>
          <m:t>o</m:t>
        </m:r>
        <m:r>
          <m:t>n</m:t>
        </m:r>
        <m:r>
          <m:rPr>
            <m:sty m:val="p"/>
          </m:rPr>
          <m:t>*</m:t>
        </m:r>
        <m:r>
          <m:rPr>
            <m:sty m:val="p"/>
          </m:rPr>
          <m:t>*</m:t>
        </m:r>
        <m:r>
          <m:rPr>
            <m:sty m:val="p"/>
          </m:rPr>
          <m:t>,</m:t>
        </m:r>
        <m:r>
          <m:t>o</m:t>
        </m:r>
        <m:r>
          <m:t>r</m:t>
        </m:r>
        <m:r>
          <m:t>143</m:t>
        </m:r>
      </m:oMath>
      <w:r>
        <w:rPr>
          <w:b/>
          <w:bCs/>
        </w:rPr>
        <w:t xml:space="preserve">3.224 billion</w:t>
      </w:r>
      <w:r>
        <w:t xml:space="preserve">, representing growth of at least 120%.</w:t>
      </w:r>
    </w:p>
    <w:p>
      <w:pPr>
        <w:pStyle w:val="BodyText"/>
      </w:pPr>
      <w:r>
        <w:t xml:space="preserve">Investors should focus on:</w:t>
      </w:r>
    </w:p>
    <w:p>
      <w:pPr>
        <w:pStyle w:val="Compact"/>
        <w:numPr>
          <w:ilvl w:val="0"/>
          <w:numId w:val="1001"/>
        </w:numPr>
      </w:pPr>
      <w:r>
        <w:t xml:space="preserve">Whether U.S. commercial growth remains comfortably above 100%.</w:t>
      </w:r>
    </w:p>
    <w:p>
      <w:pPr>
        <w:pStyle w:val="Compact"/>
        <w:numPr>
          <w:ilvl w:val="0"/>
          <w:numId w:val="1001"/>
        </w:numPr>
      </w:pPr>
      <w:r>
        <w:t xml:space="preserve">Whether growth is being driven by both new customers and expansion at existing accounts.</w:t>
      </w:r>
    </w:p>
    <w:p>
      <w:pPr>
        <w:pStyle w:val="Compact"/>
        <w:numPr>
          <w:ilvl w:val="0"/>
          <w:numId w:val="1001"/>
        </w:numPr>
      </w:pPr>
      <w:r>
        <w:t xml:space="preserve">U.S. commercial total contract value, which was</w:t>
      </w:r>
      <w:r>
        <w:t xml:space="preserve"> </w:t>
      </w:r>
      <w:r>
        <w:rPr>
          <w:b/>
          <w:bCs/>
        </w:rPr>
        <w:t xml:space="preserve">$1.18 billion</w:t>
      </w:r>
      <w:r>
        <w:t xml:space="preserve"> </w:t>
      </w:r>
      <w:r>
        <w:t xml:space="preserve">in Q1.</w:t>
      </w:r>
    </w:p>
    <w:p>
      <w:pPr>
        <w:pStyle w:val="Compact"/>
        <w:numPr>
          <w:ilvl w:val="0"/>
          <w:numId w:val="1001"/>
        </w:numPr>
      </w:pPr>
      <w:r>
        <w:t xml:space="preserve">U.S. commercial remaining deal value, which rose</w:t>
      </w:r>
      <w:r>
        <w:t xml:space="preserve"> </w:t>
      </w:r>
      <w:r>
        <w:rPr>
          <w:b/>
          <w:bCs/>
        </w:rPr>
        <w:t xml:space="preserve">112%</w:t>
      </w:r>
      <w:r>
        <w:t xml:space="preserve"> </w:t>
      </w:r>
      <w:r>
        <w:t xml:space="preserve">year over year.</w:t>
      </w:r>
    </w:p>
    <w:p>
      <w:pPr>
        <w:pStyle w:val="Compact"/>
        <w:numPr>
          <w:ilvl w:val="0"/>
          <w:numId w:val="1001"/>
        </w:numPr>
      </w:pPr>
      <w:r>
        <w:t xml:space="preserve">Customer count and net dollar retention. Q1 net dollar retention jumped to</w:t>
      </w:r>
      <w:r>
        <w:t xml:space="preserve"> </w:t>
      </w:r>
      <w:r>
        <w:rPr>
          <w:b/>
          <w:bCs/>
        </w:rPr>
        <w:t xml:space="preserve">150%</w:t>
      </w:r>
      <w:r>
        <w:t xml:space="preserve">.</w:t>
      </w:r>
    </w:p>
    <w:p>
      <w:pPr>
        <w:pStyle w:val="FirstParagraph"/>
      </w:pPr>
      <w:r>
        <w:t xml:space="preserve">This is the clearest evidence for or against the thesis that AIP is becoming a production platform rather than remaining a collection of high-profile demonstrations.</w:t>
      </w:r>
    </w:p>
    <w:p>
      <w:pPr>
        <w:pStyle w:val="BodyText"/>
      </w:pPr>
      <w:r>
        <w:t xml:space="preserve">A deceleration is inevitable eventually, but a sharp drop in U.S. commercial growth would raise questions about the durability of bootcamp conversions, deployment capacity and competition from AI labs, cloud providers and internal enterprise development.</w:t>
      </w:r>
    </w:p>
    <w:bookmarkEnd w:id="10"/>
    <w:bookmarkStart w:id="11" w:name="X894521199bd271afe9481ff7ff9fa7495bba3cc"/>
    <w:p>
      <w:pPr>
        <w:pStyle w:val="Heading3"/>
      </w:pPr>
      <w:r>
        <w:t xml:space="preserve">2. Government growth has become equally important</w:t>
      </w:r>
    </w:p>
    <w:p>
      <w:pPr>
        <w:pStyle w:val="FirstParagraph"/>
      </w:pPr>
      <w:r>
        <w:t xml:space="preserve">U.S. government revenue increased</w:t>
      </w:r>
      <w:r>
        <w:t xml:space="preserve"> </w:t>
      </w:r>
      <w:r>
        <w:rPr>
          <w:b/>
          <w:bCs/>
        </w:rPr>
        <w:t xml:space="preserve">84%</w:t>
      </w:r>
      <w:r>
        <w:t xml:space="preserve"> </w:t>
      </w:r>
      <w:r>
        <w:t xml:space="preserve">in Q1 to</w:t>
      </w:r>
      <w:r>
        <w:t xml:space="preserve"> </w:t>
      </w:r>
      <w:r>
        <w:rPr>
          <w:b/>
          <w:bCs/>
        </w:rPr>
        <w:t xml:space="preserve">$687 million</w:t>
      </w:r>
      <w:r>
        <w:t xml:space="preserve">, accelerating alongside the commercial business. Management attributed the performance to existing program execution and new awards, including demand around Maven, defense manufacturing and the broader deployment of AIP within the U.S. government.</w:t>
      </w:r>
    </w:p>
    <w:p>
      <w:pPr>
        <w:pStyle w:val="BodyText"/>
      </w:pPr>
      <w:r>
        <w:t xml:space="preserve">Key questions include:</w:t>
      </w:r>
    </w:p>
    <w:p>
      <w:pPr>
        <w:pStyle w:val="Compact"/>
        <w:numPr>
          <w:ilvl w:val="0"/>
          <w:numId w:val="1002"/>
        </w:numPr>
      </w:pPr>
      <w:r>
        <w:t xml:space="preserve">Can U.S. government growth remain near Q1’s exceptional level?</w:t>
      </w:r>
    </w:p>
    <w:p>
      <w:pPr>
        <w:pStyle w:val="Compact"/>
        <w:numPr>
          <w:ilvl w:val="0"/>
          <w:numId w:val="1002"/>
        </w:numPr>
      </w:pPr>
      <w:r>
        <w:t xml:space="preserve">Is Maven usage translating into durable revenue and additional programs?</w:t>
      </w:r>
    </w:p>
    <w:p>
      <w:pPr>
        <w:pStyle w:val="Compact"/>
        <w:numPr>
          <w:ilvl w:val="0"/>
          <w:numId w:val="1002"/>
        </w:numPr>
      </w:pPr>
      <w:r>
        <w:t xml:space="preserve">Are ShipOS, defense-industrial-base deployments and other manufacturing initiatives becoming material?</w:t>
      </w:r>
    </w:p>
    <w:p>
      <w:pPr>
        <w:pStyle w:val="Compact"/>
        <w:numPr>
          <w:ilvl w:val="0"/>
          <w:numId w:val="1002"/>
        </w:numPr>
      </w:pPr>
      <w:r>
        <w:t xml:space="preserve">How quickly can the Nvidia partnership for secure government AI move from strategic announcement to revenue?</w:t>
      </w:r>
    </w:p>
    <w:p>
      <w:pPr>
        <w:pStyle w:val="Compact"/>
        <w:numPr>
          <w:ilvl w:val="0"/>
          <w:numId w:val="1002"/>
        </w:numPr>
      </w:pPr>
      <w:r>
        <w:t xml:space="preserve">Is Palantir constrained by customer demand, available technical personnel or government procurement timing?</w:t>
      </w:r>
    </w:p>
    <w:p>
      <w:pPr>
        <w:pStyle w:val="FirstParagraph"/>
      </w:pPr>
      <w:r>
        <w:t xml:space="preserve">Government contracts can be lumpy and frequently contain termination-for-convenience provisions. Palantir also notes that continuing resolutions and budget delays can postpone revenue recognition. Investors should therefore weigh actual revenue, RPO and contract duration—not just headline contract values.</w:t>
      </w:r>
    </w:p>
    <w:bookmarkEnd w:id="11"/>
    <w:bookmarkStart w:id="12" w:name="X833e7da07ac1830b45883fef46a942ea7f8872d"/>
    <w:p>
      <w:pPr>
        <w:pStyle w:val="Heading3"/>
      </w:pPr>
      <w:r>
        <w:t xml:space="preserve">3. The size and quality of the guidance raise</w:t>
      </w:r>
    </w:p>
    <w:p>
      <w:pPr>
        <w:pStyle w:val="FirstParagraph"/>
      </w:pPr>
      <w:r>
        <w:t xml:space="preserve">Current full-year guidance calls for:</w:t>
      </w:r>
    </w:p>
    <w:p>
      <w:pPr>
        <w:pStyle w:val="Compact"/>
        <w:numPr>
          <w:ilvl w:val="0"/>
          <w:numId w:val="1003"/>
        </w:numPr>
      </w:pPr>
      <w:r>
        <w:t xml:space="preserve">Revenue of</w:t>
      </w:r>
      <w:r>
        <w:t xml:space="preserve"> </w:t>
      </w:r>
      <m:oMath>
        <m:r>
          <m:t>7.650</m:t>
        </m:r>
        <m:r>
          <m:t>B</m:t>
        </m:r>
        <m:r>
          <m:rPr>
            <m:sty m:val="p"/>
          </m:rPr>
          <m:t>–</m:t>
        </m:r>
      </m:oMath>
      <w:r>
        <w:rPr>
          <w:b/>
          <w:bCs/>
        </w:rPr>
        <w:t xml:space="preserve">7.662B</w:t>
      </w:r>
      <w:r>
        <w:t xml:space="preserve">, up approximately 71%.</w:t>
      </w:r>
    </w:p>
    <w:p>
      <w:pPr>
        <w:pStyle w:val="Compact"/>
        <w:numPr>
          <w:ilvl w:val="0"/>
          <w:numId w:val="1003"/>
        </w:numPr>
      </w:pPr>
      <w:r>
        <w:t xml:space="preserve">U.S. commercial revenue above</w:t>
      </w:r>
      <w:r>
        <w:t xml:space="preserve"> </w:t>
      </w:r>
      <w:r>
        <w:rPr>
          <w:b/>
          <w:bCs/>
        </w:rPr>
        <w:t xml:space="preserve">$3.224B</w:t>
      </w:r>
      <w:r>
        <w:t xml:space="preserve">, up at least 120%.</w:t>
      </w:r>
    </w:p>
    <w:p>
      <w:pPr>
        <w:pStyle w:val="Compact"/>
        <w:numPr>
          <w:ilvl w:val="0"/>
          <w:numId w:val="1003"/>
        </w:numPr>
      </w:pPr>
      <w:r>
        <w:t xml:space="preserve">Adjusted operating income of</w:t>
      </w:r>
      <w:r>
        <w:t xml:space="preserve"> </w:t>
      </w:r>
      <m:oMath>
        <m:r>
          <m:t>4.440</m:t>
        </m:r>
        <m:r>
          <m:t>B</m:t>
        </m:r>
        <m:r>
          <m:rPr>
            <m:sty m:val="p"/>
          </m:rPr>
          <m:t>–</m:t>
        </m:r>
      </m:oMath>
      <w:r>
        <w:rPr>
          <w:b/>
          <w:bCs/>
        </w:rPr>
        <w:t xml:space="preserve">4.452B</w:t>
      </w:r>
      <w:r>
        <w:t xml:space="preserve">.</w:t>
      </w:r>
    </w:p>
    <w:p>
      <w:pPr>
        <w:pStyle w:val="Compact"/>
        <w:numPr>
          <w:ilvl w:val="0"/>
          <w:numId w:val="1003"/>
        </w:numPr>
      </w:pPr>
      <w:r>
        <w:t xml:space="preserve">Adjusted free cash flow of</w:t>
      </w:r>
      <w:r>
        <w:t xml:space="preserve"> </w:t>
      </w:r>
      <m:oMath>
        <m:r>
          <m:t>4.2</m:t>
        </m:r>
        <m:r>
          <m:t>B</m:t>
        </m:r>
        <m:r>
          <m:rPr>
            <m:sty m:val="p"/>
          </m:rPr>
          <m:t>–</m:t>
        </m:r>
      </m:oMath>
      <w:r>
        <w:rPr>
          <w:b/>
          <w:bCs/>
        </w:rPr>
        <w:t xml:space="preserve">4.4B</w:t>
      </w:r>
      <w:r>
        <w:t xml:space="preserve">.</w:t>
      </w:r>
    </w:p>
    <w:p>
      <w:pPr>
        <w:pStyle w:val="Compact"/>
        <w:numPr>
          <w:ilvl w:val="0"/>
          <w:numId w:val="1003"/>
        </w:numPr>
      </w:pPr>
      <w:r>
        <w:t xml:space="preserve">GAAP operating income and net income in every quarter.</w:t>
      </w:r>
    </w:p>
    <w:p>
      <w:pPr>
        <w:pStyle w:val="FirstParagraph"/>
      </w:pPr>
      <w:r>
        <w:t xml:space="preserve">Using Q1 actual revenue and the Q2 guidance midpoint, the existing annual outlook requires approximately</w:t>
      </w:r>
      <w:r>
        <w:t xml:space="preserve"> </w:t>
      </w:r>
      <m:oMath>
        <m:r>
          <m:t>4.22</m:t>
        </m:r>
        <m:r>
          <m:t>b</m:t>
        </m:r>
        <m:r>
          <m:t>i</m:t>
        </m:r>
        <m:r>
          <m:t>l</m:t>
        </m:r>
        <m:r>
          <m:t>l</m:t>
        </m:r>
        <m:r>
          <m:t>i</m:t>
        </m:r>
        <m:r>
          <m:t>o</m:t>
        </m:r>
        <m:r>
          <m:t>n</m:t>
        </m:r>
        <m:r>
          <m:rPr>
            <m:sty m:val="p"/>
          </m:rPr>
          <m:t>*</m:t>
        </m:r>
        <m:r>
          <m:rPr>
            <m:sty m:val="p"/>
          </m:rPr>
          <m:t>*</m:t>
        </m:r>
        <m:r>
          <m:t>o</m:t>
        </m:r>
        <m:r>
          <m:t>f</m:t>
        </m:r>
        <m:r>
          <m:t>s</m:t>
        </m:r>
        <m:r>
          <m:t>e</m:t>
        </m:r>
        <m:r>
          <m:t>c</m:t>
        </m:r>
        <m:r>
          <m:t>o</m:t>
        </m:r>
        <m:r>
          <m:t>n</m:t>
        </m:r>
        <m:r>
          <m:t>d</m:t>
        </m:r>
        <m:r>
          <m:rPr>
            <m:sty m:val="p"/>
          </m:rPr>
          <m:t>−</m:t>
        </m:r>
        <m:r>
          <m:t>h</m:t>
        </m:r>
        <m:r>
          <m:t>a</m:t>
        </m:r>
        <m:r>
          <m:t>l</m:t>
        </m:r>
        <m:r>
          <m:t>f</m:t>
        </m:r>
        <m:r>
          <m:t>r</m:t>
        </m:r>
        <m:r>
          <m:t>e</m:t>
        </m:r>
        <m:r>
          <m:t>v</m:t>
        </m:r>
        <m:r>
          <m:t>e</m:t>
        </m:r>
        <m:r>
          <m:t>n</m:t>
        </m:r>
        <m:r>
          <m:t>u</m:t>
        </m:r>
        <m:r>
          <m:t>e</m:t>
        </m:r>
        <m:r>
          <m:rPr>
            <m:sty m:val="p"/>
          </m:rPr>
          <m:t>,</m:t>
        </m:r>
        <m:r>
          <m:t>o</m:t>
        </m:r>
        <m:r>
          <m:t>r</m:t>
        </m:r>
        <m:r>
          <m:t>a</m:t>
        </m:r>
        <m:r>
          <m:t>b</m:t>
        </m:r>
        <m:r>
          <m:t>o</m:t>
        </m:r>
        <m:r>
          <m:t>u</m:t>
        </m:r>
        <m:r>
          <m:t>t</m:t>
        </m:r>
        <m:r>
          <m:rPr>
            <m:sty m:val="p"/>
          </m:rPr>
          <m:t>*</m:t>
        </m:r>
        <m:r>
          <m:rPr>
            <m:sty m:val="p"/>
          </m:rPr>
          <m:t>*</m:t>
        </m:r>
      </m:oMath>
      <w:r>
        <w:rPr>
          <w:b/>
          <w:bCs/>
        </w:rPr>
        <w:t xml:space="preserve">2.11 billion per quarter</w:t>
      </w:r>
      <w:r>
        <w:t xml:space="preserve"> </w:t>
      </w:r>
      <w:r>
        <w:t xml:space="preserve">on average.</w:t>
      </w:r>
    </w:p>
    <w:p>
      <w:pPr>
        <w:pStyle w:val="BodyText"/>
      </w:pPr>
      <w:r>
        <w:t xml:space="preserve">The important issue is not merely whether management raises annual guidance. It is whether the raise:</w:t>
      </w:r>
    </w:p>
    <w:p>
      <w:pPr>
        <w:pStyle w:val="Compact"/>
        <w:numPr>
          <w:ilvl w:val="0"/>
          <w:numId w:val="1004"/>
        </w:numPr>
      </w:pPr>
      <w:r>
        <w:t xml:space="preserve">Exceeds the amount of the Q2 beat.</w:t>
      </w:r>
    </w:p>
    <w:p>
      <w:pPr>
        <w:pStyle w:val="Compact"/>
        <w:numPr>
          <w:ilvl w:val="0"/>
          <w:numId w:val="1004"/>
        </w:numPr>
      </w:pPr>
      <w:r>
        <w:t xml:space="preserve">Signals continued acceleration or at least limited deceleration in Q3.</w:t>
      </w:r>
    </w:p>
    <w:p>
      <w:pPr>
        <w:pStyle w:val="Compact"/>
        <w:numPr>
          <w:ilvl w:val="0"/>
          <w:numId w:val="1004"/>
        </w:numPr>
      </w:pPr>
      <w:r>
        <w:t xml:space="preserve">Includes another increase in U.S. commercial expectations.</w:t>
      </w:r>
    </w:p>
    <w:p>
      <w:pPr>
        <w:pStyle w:val="Compact"/>
        <w:numPr>
          <w:ilvl w:val="0"/>
          <w:numId w:val="1004"/>
        </w:numPr>
      </w:pPr>
      <w:r>
        <w:t xml:space="preserve">Preserves unusually high operating margins despite planned hiring and product investment.</w:t>
      </w:r>
    </w:p>
    <w:p>
      <w:pPr>
        <w:pStyle w:val="FirstParagraph"/>
      </w:pPr>
      <w:r>
        <w:t xml:space="preserve">A token guidance increase could be interpreted as conservatism, but at Palantir’s valuation it could also trigger concerns that growth has reached a near-term peak.</w:t>
      </w:r>
    </w:p>
    <w:bookmarkEnd w:id="12"/>
    <w:bookmarkStart w:id="13" w:name="X56e0ad255b5706bc669cff723c6f059136d6ae4"/>
    <w:p>
      <w:pPr>
        <w:pStyle w:val="Heading3"/>
      </w:pPr>
      <w:r>
        <w:t xml:space="preserve">4. Margin durability—and the quality of GAAP earnings</w:t>
      </w:r>
    </w:p>
    <w:p>
      <w:pPr>
        <w:pStyle w:val="FirstParagraph"/>
      </w:pPr>
      <w:r>
        <w:t xml:space="preserve">Palantir’s Q1 profitability was remarkable:</w:t>
      </w:r>
    </w:p>
    <w:p>
      <w:pPr>
        <w:pStyle w:val="Compact"/>
        <w:numPr>
          <w:ilvl w:val="0"/>
          <w:numId w:val="1005"/>
        </w:numPr>
      </w:pPr>
      <w:r>
        <w:rPr>
          <w:b/>
          <w:bCs/>
        </w:rPr>
        <w:t xml:space="preserve">87% GAAP gross margin</w:t>
      </w:r>
    </w:p>
    <w:p>
      <w:pPr>
        <w:pStyle w:val="Compact"/>
        <w:numPr>
          <w:ilvl w:val="0"/>
          <w:numId w:val="1005"/>
        </w:numPr>
      </w:pPr>
      <w:r>
        <w:rPr>
          <w:b/>
          <w:bCs/>
        </w:rPr>
        <w:t xml:space="preserve">46% GAAP operating margin</w:t>
      </w:r>
    </w:p>
    <w:p>
      <w:pPr>
        <w:pStyle w:val="Compact"/>
        <w:numPr>
          <w:ilvl w:val="0"/>
          <w:numId w:val="1005"/>
        </w:numPr>
      </w:pPr>
      <w:r>
        <w:rPr>
          <w:b/>
          <w:bCs/>
        </w:rPr>
        <w:t xml:space="preserve">60% adjusted operating margin</w:t>
      </w:r>
    </w:p>
    <w:p>
      <w:pPr>
        <w:pStyle w:val="Compact"/>
        <w:numPr>
          <w:ilvl w:val="0"/>
          <w:numId w:val="1005"/>
        </w:numPr>
      </w:pPr>
      <w:r>
        <w:rPr>
          <w:b/>
          <w:bCs/>
        </w:rPr>
        <w:t xml:space="preserve">57% adjusted free-cash-flow margin</w:t>
      </w:r>
    </w:p>
    <w:p>
      <w:pPr>
        <w:pStyle w:val="FirstParagraph"/>
      </w:pPr>
      <w:r>
        <w:t xml:space="preserve">Q2 guidance implies an adjusted operating margin of approximately</w:t>
      </w:r>
      <w:r>
        <w:t xml:space="preserve"> </w:t>
      </w:r>
      <w:r>
        <w:rPr>
          <w:b/>
          <w:bCs/>
        </w:rPr>
        <w:t xml:space="preserve">59%</w:t>
      </w:r>
      <w:r>
        <w:t xml:space="preserve">, broadly sustaining Q1’s level despite management’s plans to increase technical hiring and product investment.</w:t>
      </w:r>
    </w:p>
    <w:p>
      <w:pPr>
        <w:pStyle w:val="BodyText"/>
      </w:pPr>
      <w:r>
        <w:t xml:space="preserve">Investors should distinguish between:</w:t>
      </w:r>
    </w:p>
    <w:p>
      <w:pPr>
        <w:pStyle w:val="Compact"/>
        <w:numPr>
          <w:ilvl w:val="0"/>
          <w:numId w:val="1006"/>
        </w:numPr>
      </w:pPr>
      <w:r>
        <w:rPr>
          <w:b/>
          <w:bCs/>
        </w:rPr>
        <w:t xml:space="preserve">Operating earnings</w:t>
      </w:r>
      <w:r>
        <w:t xml:space="preserve">, which reflect the underlying software business.</w:t>
      </w:r>
    </w:p>
    <w:p>
      <w:pPr>
        <w:pStyle w:val="Compact"/>
        <w:numPr>
          <w:ilvl w:val="0"/>
          <w:numId w:val="1006"/>
        </w:numPr>
      </w:pPr>
      <w:r>
        <w:rPr>
          <w:b/>
          <w:bCs/>
        </w:rPr>
        <w:t xml:space="preserve">Adjusted results</w:t>
      </w:r>
      <w:r>
        <w:t xml:space="preserve">, which exclude stock-based compensation and related payroll taxes.</w:t>
      </w:r>
    </w:p>
    <w:p>
      <w:pPr>
        <w:pStyle w:val="Compact"/>
        <w:numPr>
          <w:ilvl w:val="0"/>
          <w:numId w:val="1006"/>
        </w:numPr>
      </w:pPr>
      <w:r>
        <w:rPr>
          <w:b/>
          <w:bCs/>
        </w:rPr>
        <w:t xml:space="preserve">Net income</w:t>
      </w:r>
      <w:r>
        <w:t xml:space="preserve">, which can include interest income and investment gains.</w:t>
      </w:r>
    </w:p>
    <w:p>
      <w:pPr>
        <w:pStyle w:val="FirstParagraph"/>
      </w:pPr>
      <w:r>
        <w:t xml:space="preserve">Q1’s 53% GAAP net margin benefited from</w:t>
      </w:r>
      <w:r>
        <w:t xml:space="preserve"> </w:t>
      </w:r>
      <m:oMath>
        <m:r>
          <m:t>66</m:t>
        </m:r>
        <m:r>
          <m:t>m</m:t>
        </m:r>
        <m:r>
          <m:t>i</m:t>
        </m:r>
        <m:r>
          <m:t>l</m:t>
        </m:r>
        <m:r>
          <m:t>l</m:t>
        </m:r>
        <m:r>
          <m:t>i</m:t>
        </m:r>
        <m:r>
          <m:t>o</m:t>
        </m:r>
        <m:r>
          <m:t>n</m:t>
        </m:r>
        <m:r>
          <m:t>o</m:t>
        </m:r>
        <m:r>
          <m:t>f</m:t>
        </m:r>
        <m:r>
          <m:t>i</m:t>
        </m:r>
        <m:r>
          <m:t>n</m:t>
        </m:r>
        <m:r>
          <m:t>t</m:t>
        </m:r>
        <m:r>
          <m:t>e</m:t>
        </m:r>
        <m:r>
          <m:t>r</m:t>
        </m:r>
        <m:r>
          <m:t>e</m:t>
        </m:r>
        <m:r>
          <m:t>s</m:t>
        </m:r>
        <m:r>
          <m:t>t</m:t>
        </m:r>
        <m:r>
          <m:t>i</m:t>
        </m:r>
        <m:r>
          <m:t>n</m:t>
        </m:r>
        <m:r>
          <m:t>c</m:t>
        </m:r>
        <m:r>
          <m:t>o</m:t>
        </m:r>
        <m:r>
          <m:t>m</m:t>
        </m:r>
        <m:r>
          <m:t>e</m:t>
        </m:r>
        <m:r>
          <m:rPr>
            <m:sty m:val="p"/>
          </m:rPr>
          <m:t>*</m:t>
        </m:r>
        <m:r>
          <m:rPr>
            <m:sty m:val="p"/>
          </m:rPr>
          <m:t>*</m:t>
        </m:r>
        <m:r>
          <m:t>a</m:t>
        </m:r>
        <m:r>
          <m:t>n</m:t>
        </m:r>
        <m:r>
          <m:t>d</m:t>
        </m:r>
        <m:r>
          <m:rPr>
            <m:sty m:val="p"/>
          </m:rPr>
          <m:t>*</m:t>
        </m:r>
        <m:r>
          <m:rPr>
            <m:sty m:val="p"/>
          </m:rPr>
          <m:t>*</m:t>
        </m:r>
      </m:oMath>
      <w:r>
        <w:rPr>
          <w:b/>
          <w:bCs/>
        </w:rPr>
        <w:t xml:space="preserve">68 million of other income</w:t>
      </w:r>
      <w:r>
        <w:t xml:space="preserve">, the latter primarily reflecting a realized investment gain. GAAP operating margin is consequently a cleaner measure of core profitability than net margin or EPS alone.</w:t>
      </w:r>
    </w:p>
    <w:p>
      <w:pPr>
        <w:pStyle w:val="BodyText"/>
      </w:pPr>
      <w:r>
        <w:t xml:space="preserve">Stock-based compensation also remains material. Q1 SBC was</w:t>
      </w:r>
      <w:r>
        <w:t xml:space="preserve"> </w:t>
      </w:r>
      <w:r>
        <w:rPr>
          <w:b/>
          <w:bCs/>
        </w:rPr>
        <w:t xml:space="preserve">$202 million</w:t>
      </w:r>
      <w:r>
        <w:t xml:space="preserve">, up 30% year over year and equal to roughly 12% of revenue. That is manageable relative to the company’s growth, but it should not be ignored when assessing owner earnings.</w:t>
      </w:r>
    </w:p>
    <w:bookmarkEnd w:id="13"/>
    <w:bookmarkStart w:id="14" w:name="Xa105922cd41548b9b927787ee86446d3fac8649"/>
    <w:p>
      <w:pPr>
        <w:pStyle w:val="Heading3"/>
      </w:pPr>
      <w:r>
        <w:t xml:space="preserve">5. Deployment capacity may be the real growth constraint</w:t>
      </w:r>
    </w:p>
    <w:p>
      <w:pPr>
        <w:pStyle w:val="FirstParagraph"/>
      </w:pPr>
      <w:r>
        <w:t xml:space="preserve">Management said after Q1 that demand exceeded its capacity to serve customers and that Palantir was reallocating personnel toward U.S. national-security priorities.</w:t>
      </w:r>
    </w:p>
    <w:p>
      <w:pPr>
        <w:pStyle w:val="BodyText"/>
      </w:pPr>
      <w:r>
        <w:t xml:space="preserve">This creates an unusual earnings question:</w:t>
      </w:r>
      <w:r>
        <w:t xml:space="preserve"> </w:t>
      </w:r>
      <w:r>
        <w:rPr>
          <w:b/>
          <w:bCs/>
        </w:rPr>
        <w:t xml:space="preserve">Can the company add enough technical capacity without undermining its deployment model or margins?</w:t>
      </w:r>
    </w:p>
    <w:p>
      <w:pPr>
        <w:pStyle w:val="BodyText"/>
      </w:pPr>
      <w:r>
        <w:t xml:space="preserve">Watch for commentary on:</w:t>
      </w:r>
    </w:p>
    <w:p>
      <w:pPr>
        <w:pStyle w:val="Compact"/>
        <w:numPr>
          <w:ilvl w:val="0"/>
          <w:numId w:val="1007"/>
        </w:numPr>
      </w:pPr>
      <w:r>
        <w:t xml:space="preserve">Headcount growth, particularly forward-deployed engineers.</w:t>
      </w:r>
    </w:p>
    <w:p>
      <w:pPr>
        <w:pStyle w:val="Compact"/>
        <w:numPr>
          <w:ilvl w:val="0"/>
          <w:numId w:val="1007"/>
        </w:numPr>
      </w:pPr>
      <w:r>
        <w:t xml:space="preserve">Time from bootcamp to production deployment.</w:t>
      </w:r>
    </w:p>
    <w:p>
      <w:pPr>
        <w:pStyle w:val="Compact"/>
        <w:numPr>
          <w:ilvl w:val="0"/>
          <w:numId w:val="1007"/>
        </w:numPr>
      </w:pPr>
      <w:r>
        <w:t xml:space="preserve">Use of partners and systems integrators.</w:t>
      </w:r>
    </w:p>
    <w:p>
      <w:pPr>
        <w:pStyle w:val="Compact"/>
        <w:numPr>
          <w:ilvl w:val="0"/>
          <w:numId w:val="1007"/>
        </w:numPr>
      </w:pPr>
      <w:r>
        <w:t xml:space="preserve">Product improvements that reduce labor per deployment.</w:t>
      </w:r>
    </w:p>
    <w:p>
      <w:pPr>
        <w:pStyle w:val="Compact"/>
        <w:numPr>
          <w:ilvl w:val="0"/>
          <w:numId w:val="1007"/>
        </w:numPr>
      </w:pPr>
      <w:r>
        <w:t xml:space="preserve">Whether government demand is crowding out commercial opportunities.</w:t>
      </w:r>
    </w:p>
    <w:p>
      <w:pPr>
        <w:pStyle w:val="FirstParagraph"/>
      </w:pPr>
      <w:r>
        <w:t xml:space="preserve">If Palantir can productize deployment and serve more customers without proportional headcount growth, the current combination of revenue growth and margins could remain exceptional. If deployments remain highly labor-intensive, capacity constraints could become a ceiling on growth.</w:t>
      </w:r>
    </w:p>
    <w:bookmarkEnd w:id="14"/>
    <w:bookmarkEnd w:id="15"/>
    <w:bookmarkStart w:id="16" w:name="Xab435294da34eb75785d0f2abe974847180e73e"/>
    <w:p>
      <w:pPr>
        <w:pStyle w:val="Heading2"/>
      </w:pPr>
      <w:r>
        <w:t xml:space="preserve">International business: upside opportunity and political risk</w:t>
      </w:r>
    </w:p>
    <w:p>
      <w:pPr>
        <w:pStyle w:val="FirstParagraph"/>
      </w:pPr>
      <w:r>
        <w:t xml:space="preserve">International commercial revenue grew a comparatively modest</w:t>
      </w:r>
      <w:r>
        <w:t xml:space="preserve"> </w:t>
      </w:r>
      <w:r>
        <w:rPr>
          <w:b/>
          <w:bCs/>
        </w:rPr>
        <w:t xml:space="preserve">26%</w:t>
      </w:r>
      <w:r>
        <w:t xml:space="preserve"> </w:t>
      </w:r>
      <w:r>
        <w:t xml:space="preserve">in Q1, while international government revenue increased</w:t>
      </w:r>
      <w:r>
        <w:t xml:space="preserve"> </w:t>
      </w:r>
      <w:r>
        <w:rPr>
          <w:b/>
          <w:bCs/>
        </w:rPr>
        <w:t xml:space="preserve">51%</w:t>
      </w:r>
      <w:r>
        <w:t xml:space="preserve">. Palantir’s first commercial customer in Mexico and public customer demonstrations at AIPCon suggest room for expansion outside the U.S.</w:t>
      </w:r>
    </w:p>
    <w:p>
      <w:pPr>
        <w:pStyle w:val="BodyText"/>
      </w:pPr>
      <w:r>
        <w:t xml:space="preserve">However, technology sovereignty has become a more visible risk. Britain is reviewing Palantir’s £330 million NHS data-platform contract ahead of a potential early-2027 break point, while France has moved toward domestic alternatives in parts of its intelligence infrastructure.</w:t>
      </w:r>
    </w:p>
    <w:p>
      <w:pPr>
        <w:pStyle w:val="BodyText"/>
      </w:pPr>
      <w:r>
        <w:t xml:space="preserve">These developments are unlikely to determine Q2 results by themselves, but management’s comments on international bookings, renewals and sovereign-AI offerings will matter for the long-term addressable market.</w:t>
      </w:r>
    </w:p>
    <w:bookmarkEnd w:id="16"/>
    <w:bookmarkStart w:id="17" w:name="Xb39ebd6ab6996939767ee8376b160fc624ebaa8"/>
    <w:p>
      <w:pPr>
        <w:pStyle w:val="Heading2"/>
      </w:pPr>
      <w:r>
        <w:t xml:space="preserve">Valuation remains the biggest stock-specific risk</w:t>
      </w:r>
    </w:p>
    <w:p>
      <w:pPr>
        <w:pStyle w:val="FirstParagraph"/>
      </w:pPr>
      <w:r>
        <w:t xml:space="preserve">PLTR closed July 31 at</w:t>
      </w:r>
      <w:r>
        <w:t xml:space="preserve"> </w:t>
      </w:r>
      <w:r>
        <w:rPr>
          <w:b/>
          <w:bCs/>
        </w:rPr>
        <w:t xml:space="preserve">$123.09</w:t>
      </w:r>
      <w:r>
        <w:t xml:space="preserve">, down approximately</w:t>
      </w:r>
      <w:r>
        <w:t xml:space="preserve"> </w:t>
      </w:r>
      <w:r>
        <w:rPr>
          <w:b/>
          <w:bCs/>
        </w:rPr>
        <w:t xml:space="preserve">27% from the beginning of 2026</w:t>
      </w:r>
      <w:r>
        <w:t xml:space="preserve"> </w:t>
      </w:r>
      <w:r>
        <w:t xml:space="preserve">and about 16% from its May 4 pre-earnings close. Even after that decline, the valuation remains demanding.</w:t>
      </w:r>
    </w:p>
    <w:p>
      <w:pPr>
        <w:pStyle w:val="BodyText"/>
      </w:pPr>
      <w:r>
        <w:t xml:space="preserve">Using the Q1 basic share count, the stock carries a rough equity value of</w:t>
      </w:r>
      <w:r>
        <w:t xml:space="preserve"> </w:t>
      </w:r>
      <w:r>
        <w:rPr>
          <w:b/>
          <w:bCs/>
        </w:rPr>
        <w:t xml:space="preserve">$295 billion</w:t>
      </w:r>
      <w:r>
        <w:t xml:space="preserve">, equivalent to approximately:</w:t>
      </w:r>
    </w:p>
    <w:p>
      <w:pPr>
        <w:pStyle w:val="Compact"/>
        <w:numPr>
          <w:ilvl w:val="0"/>
          <w:numId w:val="1008"/>
        </w:numPr>
      </w:pPr>
      <w:r>
        <w:rPr>
          <w:b/>
          <w:bCs/>
        </w:rPr>
        <w:t xml:space="preserve">38.5 times</w:t>
      </w:r>
      <w:r>
        <w:t xml:space="preserve"> </w:t>
      </w:r>
      <w:r>
        <w:t xml:space="preserve">current 2026 revenue guidance.</w:t>
      </w:r>
    </w:p>
    <w:p>
      <w:pPr>
        <w:pStyle w:val="Compact"/>
        <w:numPr>
          <w:ilvl w:val="0"/>
          <w:numId w:val="1008"/>
        </w:numPr>
      </w:pPr>
      <w:r>
        <w:rPr>
          <w:b/>
          <w:bCs/>
        </w:rPr>
        <w:t xml:space="preserve">68.5 times</w:t>
      </w:r>
      <w:r>
        <w:t xml:space="preserve"> </w:t>
      </w:r>
      <w:r>
        <w:t xml:space="preserve">the midpoint of 2026 adjusted free-cash-flow guidance.</w:t>
      </w:r>
    </w:p>
    <w:p>
      <w:pPr>
        <w:pStyle w:val="FirstParagraph"/>
      </w:pPr>
      <w:r>
        <w:t xml:space="preserve">These are simplified equity-value multiples that do not subtract Palantir’s roughly $8 billion cash position; using diluted shares would produce higher figures.</w:t>
      </w:r>
    </w:p>
    <w:p>
      <w:pPr>
        <w:pStyle w:val="BodyText"/>
      </w:pPr>
      <w:r>
        <w:t xml:space="preserve">The implication is straightforward: investors are not paying for one strong quarter. They are underwriting several years of exceptional growth, sustained margins and a dominant position in operational AI.</w:t>
      </w:r>
    </w:p>
    <w:p>
      <w:pPr>
        <w:pStyle w:val="BodyText"/>
      </w:pPr>
      <w:r>
        <w:t xml:space="preserve">That makes forward guidance and qualitative evidence of durability more important than a small Q2 beat.</w:t>
      </w:r>
    </w:p>
    <w:bookmarkEnd w:id="17"/>
    <w:bookmarkStart w:id="18" w:name="my-earnings-scorecard"/>
    <w:p>
      <w:pPr>
        <w:pStyle w:val="Heading2"/>
      </w:pPr>
      <w:r>
        <w:t xml:space="preserve">My earnings scorecard</w:t>
      </w:r>
    </w:p>
    <w:p>
      <w:pPr>
        <w:pStyle w:val="FirstParagraph"/>
      </w:pPr>
      <w:r>
        <w:t xml:space="preserve">The following is a scenario framework rather than published consensus: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Outcome</w:t>
            </w:r>
          </w:p>
        </w:tc>
        <w:tc>
          <w:tcPr/>
          <w:p>
            <w:pPr>
              <w:pStyle w:val="Compact"/>
            </w:pPr>
            <w:r>
              <w:t xml:space="preserve">What it might look like</w:t>
            </w:r>
          </w:p>
        </w:tc>
      </w:tr>
      <w:tr>
        <w:tc>
          <w:tcPr/>
          <w:p>
            <w:pPr>
              <w:pStyle w:val="Compact"/>
            </w:pPr>
            <w:r>
              <w:rPr>
                <w:b/>
                <w:bCs/>
              </w:rPr>
              <w:t xml:space="preserve">Bullish</w:t>
            </w:r>
          </w:p>
        </w:tc>
        <w:tc>
          <w:tcPr/>
          <w:p>
            <w:pPr>
              <w:pStyle w:val="Compact"/>
            </w:pPr>
            <w:r>
              <w:t xml:space="preserve">Revenue above roughly $1.83B; U.S. commercial remains around or above 130% growth; adjusted margin at least 60%; strong Q3 outlook; substantial full-year revenue and U.S. commercial guidance raises</w:t>
            </w:r>
          </w:p>
        </w:tc>
      </w:tr>
      <w:tr>
        <w:tc>
          <w:tcPr/>
          <w:p>
            <w:pPr>
              <w:pStyle w:val="Compact"/>
            </w:pPr>
            <w:r>
              <w:rPr>
                <w:b/>
                <w:bCs/>
              </w:rPr>
              <w:t xml:space="preserve">Acceptable</w:t>
            </w:r>
          </w:p>
        </w:tc>
        <w:tc>
          <w:tcPr/>
          <w:p>
            <w:pPr>
              <w:pStyle w:val="Compact"/>
            </w:pPr>
            <w:r>
              <w:t xml:space="preserve">Revenue of</w:t>
            </w:r>
            <w:r>
              <w:t xml:space="preserve"> </w:t>
            </w:r>
            <m:oMath>
              <m:r>
                <m:t>1.80</m:t>
              </m:r>
              <m:r>
                <m:t>B</m:t>
              </m:r>
              <m:r>
                <m:rPr>
                  <m:sty m:val="p"/>
                </m:rPr>
                <m:t>–</m:t>
              </m:r>
            </m:oMath>
            <w:r>
              <w:t xml:space="preserve">1.83B; U.S. commercial comfortably above 100%; adjusted margin of 58%–60%; annual guidance raised broadly in line with the beat</w:t>
            </w:r>
          </w:p>
        </w:tc>
      </w:tr>
      <w:tr>
        <w:tc>
          <w:tcPr/>
          <w:p>
            <w:pPr>
              <w:pStyle w:val="Compact"/>
            </w:pPr>
            <w:r>
              <w:rPr>
                <w:b/>
                <w:bCs/>
              </w:rPr>
              <w:t xml:space="preserve">Disappointing</w:t>
            </w:r>
          </w:p>
        </w:tc>
        <w:tc>
          <w:tcPr/>
          <w:p>
            <w:pPr>
              <w:pStyle w:val="Compact"/>
            </w:pPr>
            <w:r>
              <w:t xml:space="preserve">Revenue below $1.80B; pronounced U.S. commercial deceleration; weaker bookings or retention; margin below 58%; or little change to the full-year outlook</w:t>
            </w:r>
          </w:p>
        </w:tc>
      </w:tr>
      <w:tr>
        <w:tc>
          <w:tcPr/>
          <w:p>
            <w:pPr>
              <w:pStyle w:val="Compact"/>
            </w:pPr>
            <w:r>
              <w:rPr>
                <w:b/>
                <w:bCs/>
              </w:rPr>
              <w:t xml:space="preserve">Thesis-changing negative</w:t>
            </w:r>
          </w:p>
        </w:tc>
        <w:tc>
          <w:tcPr/>
          <w:p>
            <w:pPr>
              <w:pStyle w:val="Compact"/>
            </w:pPr>
            <w:r>
              <w:t xml:space="preserve">Evidence that AIP demand is slowing, deployment constraints are worsening, major contracts are being delayed or displaced, or Q3 growth is expected to decelerate sharply</w:t>
            </w:r>
          </w:p>
        </w:tc>
      </w:tr>
    </w:tbl>
    <w:bookmarkEnd w:id="18"/>
    <w:bookmarkStart w:id="19" w:name="questions-investors-should-want-answered"/>
    <w:p>
      <w:pPr>
        <w:pStyle w:val="Heading2"/>
      </w:pPr>
      <w:r>
        <w:t xml:space="preserve">Questions investors should want answered</w:t>
      </w:r>
    </w:p>
    <w:p>
      <w:pPr>
        <w:pStyle w:val="Compact"/>
        <w:numPr>
          <w:ilvl w:val="0"/>
          <w:numId w:val="1009"/>
        </w:numPr>
      </w:pPr>
      <w:r>
        <w:t xml:space="preserve">How much of Q1’s U.S. commercial acceleration carried into Q2?</w:t>
      </w:r>
    </w:p>
    <w:p>
      <w:pPr>
        <w:pStyle w:val="Compact"/>
        <w:numPr>
          <w:ilvl w:val="0"/>
          <w:numId w:val="1009"/>
        </w:numPr>
      </w:pPr>
      <w:r>
        <w:t xml:space="preserve">What proportion of AIP bootcamps are converting into production contracts, and how quickly?</w:t>
      </w:r>
    </w:p>
    <w:p>
      <w:pPr>
        <w:pStyle w:val="Compact"/>
        <w:numPr>
          <w:ilvl w:val="0"/>
          <w:numId w:val="1009"/>
        </w:numPr>
      </w:pPr>
      <w:r>
        <w:t xml:space="preserve">Is demand still exceeding Palantir’s ability to deploy personnel?</w:t>
      </w:r>
    </w:p>
    <w:p>
      <w:pPr>
        <w:pStyle w:val="Compact"/>
        <w:numPr>
          <w:ilvl w:val="0"/>
          <w:numId w:val="1009"/>
        </w:numPr>
      </w:pPr>
      <w:r>
        <w:t xml:space="preserve">Can U.S. government growth remain elevated after its 84% Q1 increase?</w:t>
      </w:r>
    </w:p>
    <w:p>
      <w:pPr>
        <w:pStyle w:val="Compact"/>
        <w:numPr>
          <w:ilvl w:val="0"/>
          <w:numId w:val="1009"/>
        </w:numPr>
      </w:pPr>
      <w:r>
        <w:t xml:space="preserve">How much revenue is associated with newer defense-manufacturing programs?</w:t>
      </w:r>
    </w:p>
    <w:p>
      <w:pPr>
        <w:pStyle w:val="Compact"/>
        <w:numPr>
          <w:ilvl w:val="0"/>
          <w:numId w:val="1009"/>
        </w:numPr>
      </w:pPr>
      <w:r>
        <w:t xml:space="preserve">Are AI labs and cloud providers becoming competitors, partners or customer-acquisition channels?</w:t>
      </w:r>
    </w:p>
    <w:p>
      <w:pPr>
        <w:pStyle w:val="Compact"/>
        <w:numPr>
          <w:ilvl w:val="0"/>
          <w:numId w:val="1009"/>
        </w:numPr>
      </w:pPr>
      <w:r>
        <w:t xml:space="preserve">How quickly can Palantir increase headcount while maintaining its culture and margins?</w:t>
      </w:r>
    </w:p>
    <w:p>
      <w:pPr>
        <w:pStyle w:val="Compact"/>
        <w:numPr>
          <w:ilvl w:val="0"/>
          <w:numId w:val="1009"/>
        </w:numPr>
      </w:pPr>
      <w:r>
        <w:t xml:space="preserve">What are the implications of technology-sovereignty concerns in Britain, France and continental Europe?</w:t>
      </w:r>
    </w:p>
    <w:p>
      <w:pPr>
        <w:pStyle w:val="Compact"/>
        <w:numPr>
          <w:ilvl w:val="0"/>
          <w:numId w:val="1009"/>
        </w:numPr>
      </w:pPr>
      <w:r>
        <w:t xml:space="preserve">Why should investors expect adjusted operating margins around 60% to persist?</w:t>
      </w:r>
    </w:p>
    <w:p>
      <w:pPr>
        <w:pStyle w:val="Compact"/>
        <w:numPr>
          <w:ilvl w:val="0"/>
          <w:numId w:val="1009"/>
        </w:numPr>
      </w:pPr>
      <w:r>
        <w:t xml:space="preserve">How much of the full-year guidance raise reflects Q2 performance versus improved second-half expectations?</w:t>
      </w:r>
    </w:p>
    <w:bookmarkEnd w:id="19"/>
    <w:bookmarkStart w:id="20" w:name="bottom-line"/>
    <w:p>
      <w:pPr>
        <w:pStyle w:val="Heading2"/>
      </w:pPr>
      <w:r>
        <w:t xml:space="preserve">Bottom line</w:t>
      </w:r>
    </w:p>
    <w:p>
      <w:pPr>
        <w:pStyle w:val="FirstParagraph"/>
      </w:pPr>
      <w:r>
        <w:t xml:space="preserve">Fundamentally, the setup is exceptionally strong. Palantir is simultaneously producing hypergrowth, expanding margins, growing GAAP operating income and generating substantial cash. U.S. commercial remains the primary proof point for AIP, while the rapid acceleration in U.S. government revenue provides a second major growth engine.</w:t>
      </w:r>
    </w:p>
    <w:p>
      <w:pPr>
        <w:pStyle w:val="BodyText"/>
      </w:pPr>
      <w:r>
        <w:t xml:space="preserve">The risk is almost entirely in the bar investors have set. Q2 revenue near $1.8 billion and a 59%–60% adjusted operating margin would be outstanding for almost any software company, yet may be insufficient for PLTR if management does not accompany it with another meaningful guidance increase.</w:t>
      </w:r>
    </w:p>
    <w:p>
      <w:pPr>
        <w:pStyle w:val="BodyText"/>
      </w:pPr>
      <w:r>
        <w:t xml:space="preserve">The most important signal will therefore be</w:t>
      </w:r>
      <w:r>
        <w:t xml:space="preserve"> </w:t>
      </w:r>
      <w:r>
        <w:rPr>
          <w:b/>
          <w:bCs/>
        </w:rPr>
        <w:t xml:space="preserve">whether Q2 confirms that Palantir’s growth is still broadening and compounding—or merely fulfills expectations that have already been priced into one of the market’s most expensive large-cap stocks.</w:t>
      </w:r>
    </w:p>
    <w:bookmarkEnd w:id="20"/>
    <w:bookmarkEnd w:id="2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1"/>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2026-08-03T00:14:30Z</dcterms:created>
  <dcterms:modified xsi:type="dcterms:W3CDTF">2026-08-03T00:14:30Z</dcterms:modified>
</cp:coreProperties>
</file>

<file path=docProps/custom.xml><?xml version="1.0" encoding="utf-8"?>
<Properties xmlns="http://schemas.openxmlformats.org/officeDocument/2006/custom-properties" xmlns:vt="http://schemas.openxmlformats.org/officeDocument/2006/docPropsVTypes"/>
</file>