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palantir-pltr-q2-2026-earnings-preview"/>
    <w:p>
      <w:pPr>
        <w:pStyle w:val="Heading1"/>
      </w:pPr>
      <w:r>
        <w:t xml:space="preserve">Palantir (PLTR)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August 3,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Palantir is scheduled to report</w:t>
      </w:r>
      <w:r>
        <w:t xml:space="preserve"> </w:t>
      </w:r>
      <w:r>
        <w:rPr>
          <w:b/>
          <w:bCs/>
        </w:rPr>
        <w:t xml:space="preserve">Q2 2026 results after the U.S. market close on Monday, August 3</w:t>
      </w:r>
      <w:r>
        <w:t xml:space="preserve">, followed by its earnings call.</w:t>
      </w:r>
    </w:p>
    <w:bookmarkStart w:id="9" w:name="X9f492b33cb543a7d1123a17cca9e0226ab2987c"/>
    <w:p>
      <w:pPr>
        <w:pStyle w:val="Heading2"/>
      </w:pPr>
      <w:r>
        <w:t xml:space="preserve">Investment view: the bar is high, and guidance matters more than the headline beat</w:t>
      </w:r>
    </w:p>
    <w:p>
      <w:pPr>
        <w:pStyle w:val="FirstParagraph"/>
      </w:pPr>
      <w:r>
        <w:t xml:space="preserve">Palantir enters Q2 with extraordinary operating momentum but equally extraordinary expectations. The company’s own Q2 guide calls for approximately</w:t>
      </w:r>
      <w:r>
        <w:t xml:space="preserve"> </w:t>
      </w:r>
      <m:oMath>
        <m:r>
          <m:t>1.799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79</m:t>
        </m:r>
      </m:oMath>
      <w:r>
        <w:rPr>
          <w:b/>
          <w:bCs/>
        </w:rPr>
        <w:t xml:space="preserve">1.065 billion of adjusted operating income</w:t>
      </w:r>
      <w:r>
        <w:t xml:space="preserve">, or a margin near</w:t>
      </w:r>
      <w:r>
        <w:t xml:space="preserve"> </w:t>
      </w:r>
      <w:r>
        <w:rPr>
          <w:b/>
          <w:bCs/>
        </w:rPr>
        <w:t xml:space="preserve">59%</w:t>
      </w:r>
      <w:r>
        <w:t xml:space="preserve">. Street expectations appear broadly aligned with that framework: approximately</w:t>
      </w:r>
      <w:r>
        <w:t xml:space="preserve"> </w:t>
      </w:r>
      <m:oMath>
        <m:r>
          <m:t>1.8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60</m:t>
        </m:r>
      </m:oMath>
      <w:r>
        <w:rPr>
          <w:b/>
          <w:bCs/>
        </w:rPr>
        <w:t xml:space="preserve">0.35 adjusted EPS</w:t>
      </w:r>
      <w:r>
        <w:t xml:space="preserve">.</w:t>
      </w:r>
    </w:p>
    <w:p>
      <w:pPr>
        <w:pStyle w:val="BodyText"/>
      </w:pPr>
      <w:r>
        <w:t xml:space="preserve">The central question is not whether Palantir can clear the published Q2 revenue guide. Rather, investors will assess whether: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U.S. commercial growth remains above 100%;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U.S. government demand continues to accelerate;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Bookings, RDV, and RPO confirm that growth can remain elevated into 2H 2026;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t xml:space="preserve">Management raises its already aggressive full-year outlook—especially the</w:t>
      </w:r>
      <w:r>
        <w:t xml:space="preserve"> </w:t>
      </w:r>
      <m:oMath>
        <m:r>
          <m:t>7.650</m:t>
        </m:r>
        <m:r>
          <m:rPr>
            <m:sty m:val="p"/>
          </m:rPr>
          <m:t>–</m:t>
        </m:r>
      </m:oMath>
      <w:r>
        <w:rPr>
          <w:b/>
          <w:bCs/>
        </w:rPr>
        <w:t xml:space="preserve">7.662 billion</w:t>
      </w:r>
      <w:r>
        <w:t xml:space="preserve"> </w:t>
      </w:r>
      <w:r>
        <w:t xml:space="preserve">revenue guide and</w:t>
      </w:r>
      <w:r>
        <w:t xml:space="preserve"> </w:t>
      </w:r>
      <w:r>
        <w:rPr>
          <w:b/>
          <w:bCs/>
        </w:rPr>
        <w:t xml:space="preserve">120%+ U.S. commercial growth</w:t>
      </w:r>
      <w:r>
        <w:t xml:space="preserve"> </w:t>
      </w:r>
      <w:r>
        <w:t xml:space="preserve">target.</w:t>
      </w:r>
    </w:p>
    <w:p>
      <w:pPr>
        <w:pStyle w:val="FirstParagraph"/>
      </w:pPr>
      <w:r>
        <w:t xml:space="preserve">With PLTR’s valuation still embedding a long runway of exceptional growth and margins, a modest revenue/EPS beat without a meaningful upward revision to guidance or forward indicators may not be enough.</w:t>
      </w:r>
    </w:p>
    <w:p>
      <w:r>
        <w:pict>
          <v:rect style="width:0;height:1.5pt" o:hralign="center" o:hrstd="t" o:hr="t"/>
        </w:pict>
      </w:r>
    </w:p>
    <w:bookmarkEnd w:id="9"/>
    <w:bookmarkStart w:id="10" w:name="X1b37ce2b5d0af07a7b8844fcdb2784ca8cd021e"/>
    <w:p>
      <w:pPr>
        <w:pStyle w:val="Heading2"/>
      </w:pPr>
      <w:r>
        <w:t xml:space="preserve">The setup: Q1 established a very demanding baseline</w:t>
      </w:r>
    </w:p>
    <w:p>
      <w:pPr>
        <w:pStyle w:val="FirstParagraph"/>
      </w:pPr>
      <w:r>
        <w:t xml:space="preserve">In Q1 2026, Palantir reported: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$1.633B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85%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16% Q/Q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104%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commercial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133%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government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84%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60%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free-cash-flow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dollar retention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150%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RDV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$11.8B</w:t>
            </w:r>
            <w:r>
              <w:t xml:space="preserve">, +98%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RPO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$4.5B</w:t>
            </w:r>
            <w:r>
              <w:t xml:space="preserve">, +134% Y/Y</w:t>
            </w:r>
          </w:p>
        </w:tc>
      </w:tr>
    </w:tbl>
    <w:p>
      <w:pPr>
        <w:pStyle w:val="BodyText"/>
      </w:pPr>
      <w:r>
        <w:t xml:space="preserve">The Q2 revenue guide implies about</w:t>
      </w:r>
      <w:r>
        <w:t xml:space="preserve"> </w:t>
      </w:r>
      <w:r>
        <w:rPr>
          <w:b/>
          <w:bCs/>
        </w:rPr>
        <w:t xml:space="preserve">10% sequential growth</w:t>
      </w:r>
      <w:r>
        <w:t xml:space="preserve"> </w:t>
      </w:r>
      <w:r>
        <w:t xml:space="preserve">from Q1 and nearly</w:t>
      </w:r>
      <w:r>
        <w:t xml:space="preserve"> </w:t>
      </w:r>
      <w:r>
        <w:rPr>
          <w:b/>
          <w:bCs/>
        </w:rPr>
        <w:t xml:space="preserve">80% year-over-year growth</w:t>
      </w:r>
      <w:r>
        <w:t xml:space="preserve"> </w:t>
      </w:r>
      <w:r>
        <w:t xml:space="preserve">against Q2 2025 revenue of $1.004 billion. This is a difficult comparison only in the sense that Palantir is now operating at a far larger revenue base; it is still a comparatively easy year-over-year comp relative to the company’s current growth trajectory.</w:t>
      </w:r>
    </w:p>
    <w:p>
      <w:r>
        <w:pict>
          <v:rect style="width:0;height:1.5pt" o:hralign="center" o:hrstd="t" o:hr="t"/>
        </w:pict>
      </w:r>
    </w:p>
    <w:bookmarkEnd w:id="10"/>
    <w:bookmarkStart w:id="15" w:name="what-investors-should-watch"/>
    <w:p>
      <w:pPr>
        <w:pStyle w:val="Heading2"/>
      </w:pPr>
      <w:r>
        <w:t xml:space="preserve">What investors should watch</w:t>
      </w:r>
    </w:p>
    <w:bookmarkStart w:id="11" w:name="X4651f2d1e3b41bfe92a2d31b2c0b862c7617022"/>
    <w:p>
      <w:pPr>
        <w:pStyle w:val="Heading3"/>
      </w:pPr>
      <w:r>
        <w:t xml:space="preserve">1. U.S. commercial: the most important operating KPI</w:t>
      </w:r>
    </w:p>
    <w:p>
      <w:pPr>
        <w:pStyle w:val="FirstParagraph"/>
      </w:pPr>
      <w:r>
        <w:t xml:space="preserve">The key bull case remains U.S. commercial AI adoption, where Q1 revenue rose</w:t>
      </w:r>
      <w:r>
        <w:t xml:space="preserve"> </w:t>
      </w:r>
      <w:r>
        <w:rPr>
          <w:b/>
          <w:bCs/>
        </w:rPr>
        <w:t xml:space="preserve">133% year over year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$595 million</w:t>
      </w:r>
      <w:r>
        <w:t xml:space="preserve">. Management guided to</w:t>
      </w:r>
      <w:r>
        <w:t xml:space="preserve"> </w:t>
      </w:r>
      <w:r>
        <w:rPr>
          <w:b/>
          <w:bCs/>
        </w:rPr>
        <w:t xml:space="preserve">more than $3.224 billion</w:t>
      </w:r>
      <w:r>
        <w:t xml:space="preserve"> </w:t>
      </w:r>
      <w:r>
        <w:t xml:space="preserve">of U.S. commercial revenue for full-year 2026—at least 120% growth.</w:t>
      </w:r>
    </w:p>
    <w:p>
      <w:pPr>
        <w:pStyle w:val="BodyText"/>
      </w:pPr>
      <w:r>
        <w:t xml:space="preserve">For Q2, investors should focus on: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commercial revenue growth:</w:t>
      </w:r>
      <w:r>
        <w:t xml:space="preserve"> </w:t>
      </w:r>
      <w:r>
        <w:t xml:space="preserve">Does it remain above 100%?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Sequential dollar growth:</w:t>
      </w:r>
      <w:r>
        <w:t xml:space="preserve"> </w:t>
      </w:r>
      <w:r>
        <w:t xml:space="preserve">At this scale, absolute revenue additions matter more than percentages alone.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commercial customer count:</w:t>
      </w:r>
      <w:r>
        <w:t xml:space="preserve"> </w:t>
      </w:r>
      <w:r>
        <w:t xml:space="preserve">Q1 ended with</w:t>
      </w:r>
      <w:r>
        <w:t xml:space="preserve"> </w:t>
      </w:r>
      <w:r>
        <w:rPr>
          <w:b/>
          <w:bCs/>
        </w:rPr>
        <w:t xml:space="preserve">615 customers</w:t>
      </w:r>
      <w:r>
        <w:t xml:space="preserve">, up 42% Y/Y.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U.S. commercial TCV bookings and RDV:</w:t>
      </w:r>
      <w:r>
        <w:t xml:space="preserve"> </w:t>
      </w:r>
      <w:r>
        <w:t xml:space="preserve">Q1 bookings were $1.176 billion and RDV reached $4.92 billion, up 112% Y/Y.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Evidence of broadening beyond a handful of marquee customers:</w:t>
      </w:r>
      <w:r>
        <w:t xml:space="preserve"> </w:t>
      </w:r>
      <w:r>
        <w:t xml:space="preserve">Management has emphasized manufacturing, insurance, aerospace, healthcare, telecom, and financial-services use cases.</w:t>
      </w:r>
    </w:p>
    <w:p>
      <w:pPr>
        <w:pStyle w:val="FirstParagraph"/>
      </w:pPr>
      <w:r>
        <w:t xml:space="preserve">A sustained triple-digit U.S. commercial growth rate would reinforce the view that AIP is translating from pilots and bootcamps into larger, production-scale deployments.</w:t>
      </w:r>
    </w:p>
    <w:bookmarkEnd w:id="11"/>
    <w:bookmarkStart w:id="12" w:name="X27a807db799b13c41680047709d8fd3cfafb6f4"/>
    <w:p>
      <w:pPr>
        <w:pStyle w:val="Heading3"/>
      </w:pPr>
      <w:r>
        <w:t xml:space="preserve">2. Government demand and the potential Q3 procurement tailwind</w:t>
      </w:r>
    </w:p>
    <w:p>
      <w:pPr>
        <w:pStyle w:val="FirstParagraph"/>
      </w:pPr>
      <w:r>
        <w:t xml:space="preserve">Government generated</w:t>
      </w:r>
      <w:r>
        <w:t xml:space="preserve"> </w:t>
      </w:r>
      <w:r>
        <w:rPr>
          <w:b/>
          <w:bCs/>
        </w:rPr>
        <w:t xml:space="preserve">53% of Q1 revenue</w:t>
      </w:r>
      <w:r>
        <w:t xml:space="preserve">, and U.S. government revenue grew</w:t>
      </w:r>
      <w:r>
        <w:t xml:space="preserve"> </w:t>
      </w:r>
      <w:r>
        <w:rPr>
          <w:b/>
          <w:bCs/>
        </w:rPr>
        <w:t xml:space="preserve">84% Y/Y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21% sequentially</w:t>
      </w:r>
      <w:r>
        <w:t xml:space="preserve">. The company cited momentum across Maven, defense manufacturing, ShipOS, TITAN-related work, and civil-agency contracts such as USDA.</w:t>
      </w:r>
    </w:p>
    <w:p>
      <w:pPr>
        <w:pStyle w:val="BodyText"/>
      </w:pPr>
      <w:r>
        <w:t xml:space="preserve">Q2 results should provide an update on:</w:t>
      </w:r>
    </w:p>
    <w:p>
      <w:pPr>
        <w:pStyle w:val="Compact"/>
        <w:numPr>
          <w:ilvl w:val="0"/>
          <w:numId w:val="1003"/>
        </w:numPr>
      </w:pPr>
      <w:r>
        <w:t xml:space="preserve">Conversion of defense and civil-agency opportunities into revenue and backlog;</w:t>
      </w:r>
    </w:p>
    <w:p>
      <w:pPr>
        <w:pStyle w:val="Compact"/>
        <w:numPr>
          <w:ilvl w:val="0"/>
          <w:numId w:val="1003"/>
        </w:numPr>
      </w:pPr>
      <w:r>
        <w:t xml:space="preserve">The pace of U.S. government contract awards;</w:t>
      </w:r>
    </w:p>
    <w:p>
      <w:pPr>
        <w:pStyle w:val="Compact"/>
        <w:numPr>
          <w:ilvl w:val="0"/>
          <w:numId w:val="1003"/>
        </w:numPr>
      </w:pPr>
      <w:r>
        <w:t xml:space="preserve">Any impact from procurement timing, appropriations, or continuing-resolution risk;</w:t>
      </w:r>
    </w:p>
    <w:p>
      <w:pPr>
        <w:pStyle w:val="Compact"/>
        <w:numPr>
          <w:ilvl w:val="0"/>
          <w:numId w:val="1003"/>
        </w:numPr>
      </w:pPr>
      <w:r>
        <w:t xml:space="preserve">Whether government bookings set up a stronger Q3, traditionally helped by the September 30 U.S. federal fiscal year-end.</w:t>
      </w:r>
    </w:p>
    <w:p>
      <w:pPr>
        <w:pStyle w:val="FirstParagraph"/>
      </w:pPr>
      <w:r>
        <w:t xml:space="preserve">This is an important counterweight to commercial growth: it diversifies the story, but it also introduces timing volatility because government awards, funding, and options can shift between quarters.</w:t>
      </w:r>
    </w:p>
    <w:bookmarkEnd w:id="12"/>
    <w:bookmarkStart w:id="13" w:name="X85e410e7141bcb7026d2b6d0ddf69819a4f99d6"/>
    <w:p>
      <w:pPr>
        <w:pStyle w:val="Heading3"/>
      </w:pPr>
      <w:r>
        <w:t xml:space="preserve">3. Bookings and backlog quality—not simply headline TCV</w:t>
      </w:r>
    </w:p>
    <w:p>
      <w:pPr>
        <w:pStyle w:val="FirstParagraph"/>
      </w:pPr>
      <w:r>
        <w:t xml:space="preserve">Palantir reported</w:t>
      </w:r>
      <w:r>
        <w:t xml:space="preserve"> </w:t>
      </w:r>
      <m:oMath>
        <m:r>
          <m:t>2.41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Q</m:t>
        </m:r>
        <m:r>
          <m:t>1</m:t>
        </m:r>
        <m:r>
          <m:t>T</m:t>
        </m:r>
        <m:r>
          <m:t>C</m:t>
        </m:r>
        <m:r>
          <m:t>V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61</m:t>
        </m:r>
      </m:oMath>
      <w:r>
        <w:rPr>
          <w:b/>
          <w:bCs/>
        </w:rPr>
        <w:t xml:space="preserve">11.8 billion of total RDV</w:t>
      </w:r>
      <w:r>
        <w:t xml:space="preserve">, up 98% Y/Y. These are powerful indicators, but they need interpretation.</w:t>
      </w:r>
    </w:p>
    <w:p>
      <w:pPr>
        <w:pStyle w:val="BodyText"/>
      </w:pPr>
      <w:r>
        <w:t xml:space="preserve">The most useful items to monitor are: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Total TCV and dollar-weighted-duration TCV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U.S. commercial TCV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RDV growth</w:t>
      </w:r>
      <w:r>
        <w:t xml:space="preserve">, particularly in U.S. commercial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RPO growth</w:t>
      </w:r>
      <w:r>
        <w:t xml:space="preserve">, which was $4.5 billion in Q1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Net dollar retention</w:t>
      </w:r>
      <w:r>
        <w:t xml:space="preserve">, which jumped to 150% in Q1</w:t>
      </w:r>
    </w:p>
    <w:p>
      <w:pPr>
        <w:pStyle w:val="Compact"/>
        <w:numPr>
          <w:ilvl w:val="0"/>
          <w:numId w:val="1004"/>
        </w:numPr>
      </w:pPr>
      <w:r>
        <w:t xml:space="preserve">The extent to which large bookings are near-term, contracted, and likely to convert to recognized revenue</w:t>
      </w:r>
    </w:p>
    <w:p>
      <w:pPr>
        <w:pStyle w:val="FirstParagraph"/>
      </w:pPr>
      <w:r>
        <w:t xml:space="preserve">Investors should remember that Palantir’s RDV and TCV can include contract options, while many government contracts are subject to termination-for-convenience provisions. Strong bookings are valuable, but the market will care most about the portion that supports a higher revenue outlook.</w:t>
      </w:r>
    </w:p>
    <w:bookmarkEnd w:id="13"/>
    <w:bookmarkStart w:id="14" w:name="X0f520e4c7407ae7c17c8c0e4c209ecdf207c047"/>
    <w:p>
      <w:pPr>
        <w:pStyle w:val="Heading3"/>
      </w:pPr>
      <w:r>
        <w:t xml:space="preserve">4. Margins: can Palantir invest while holding ~60% adjusted operating margin?</w:t>
      </w:r>
    </w:p>
    <w:p>
      <w:pPr>
        <w:pStyle w:val="FirstParagraph"/>
      </w:pPr>
      <w:r>
        <w:t xml:space="preserve">The company’s Q2 guide implies another approximately</w:t>
      </w:r>
      <w:r>
        <w:t xml:space="preserve"> </w:t>
      </w:r>
      <w:r>
        <w:rPr>
          <w:b/>
          <w:bCs/>
        </w:rPr>
        <w:t xml:space="preserve">59% adjusted operating margin</w:t>
      </w:r>
      <w:r>
        <w:t xml:space="preserve">, following 60% in Q1. That is a remarkable level for a company growing revenue around 80%.</w:t>
      </w:r>
    </w:p>
    <w:p>
      <w:pPr>
        <w:pStyle w:val="BodyText"/>
      </w:pPr>
      <w:r>
        <w:t xml:space="preserve">The debate is whether Palantir can continue to:</w:t>
      </w:r>
    </w:p>
    <w:p>
      <w:pPr>
        <w:pStyle w:val="Compact"/>
        <w:numPr>
          <w:ilvl w:val="0"/>
          <w:numId w:val="1005"/>
        </w:numPr>
      </w:pPr>
      <w:r>
        <w:t xml:space="preserve">Hire technical talent;</w:t>
      </w:r>
    </w:p>
    <w:p>
      <w:pPr>
        <w:pStyle w:val="Compact"/>
        <w:numPr>
          <w:ilvl w:val="0"/>
          <w:numId w:val="1005"/>
        </w:numPr>
      </w:pPr>
      <w:r>
        <w:t xml:space="preserve">Expand sales, marketing, and bootcamp activity;</w:t>
      </w:r>
    </w:p>
    <w:p>
      <w:pPr>
        <w:pStyle w:val="Compact"/>
        <w:numPr>
          <w:ilvl w:val="0"/>
          <w:numId w:val="1005"/>
        </w:numPr>
      </w:pPr>
      <w:r>
        <w:t xml:space="preserve">Fund product development and AIP infrastructure;</w:t>
      </w:r>
    </w:p>
    <w:p>
      <w:pPr>
        <w:pStyle w:val="Compact"/>
        <w:numPr>
          <w:ilvl w:val="0"/>
          <w:numId w:val="1005"/>
        </w:numPr>
      </w:pPr>
      <w:r>
        <w:t xml:space="preserve">Support increasingly complex customer deployments;</w:t>
      </w:r>
    </w:p>
    <w:p>
      <w:pPr>
        <w:pStyle w:val="FirstParagraph"/>
      </w:pPr>
      <w:r>
        <w:t xml:space="preserve">…without sacrificing the operating leverage that has become central to the investment case.</w:t>
      </w:r>
    </w:p>
    <w:p>
      <w:pPr>
        <w:pStyle w:val="BodyText"/>
      </w:pPr>
      <w:r>
        <w:t xml:space="preserve">Q1 GAAP operating margin was 46%, while stock-based compensation totaled $202 million. Investors should evaluate both GAAP profitability and adjusted profitability, rather than relying only on the non-GAAP margin headline.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9" w:name="guidance-is-the-event"/>
    <w:p>
      <w:pPr>
        <w:pStyle w:val="Heading2"/>
      </w:pPr>
      <w:r>
        <w:t xml:space="preserve">Guidance is the event</w:t>
      </w:r>
    </w:p>
    <w:bookmarkStart w:id="16" w:name="current-company-outlook"/>
    <w:p>
      <w:pPr>
        <w:pStyle w:val="Heading3"/>
      </w:pPr>
      <w:r>
        <w:t xml:space="preserve">Current company outlook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Current FY 2026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7.650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7.662B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~71%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commercial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&gt;$3.224B</w:t>
            </w:r>
          </w:p>
        </w:tc>
      </w:tr>
      <w:tr>
        <w:tc>
          <w:tcPr/>
          <w:p>
            <w:pPr>
              <w:pStyle w:val="Compact"/>
            </w:pPr>
            <w:r>
              <w:t xml:space="preserve">U.S. commercial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≥120%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4.440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4.452B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4.4B</w:t>
            </w:r>
          </w:p>
        </w:tc>
      </w:tr>
    </w:tbl>
    <w:p>
      <w:pPr>
        <w:pStyle w:val="BodyText"/>
      </w:pPr>
      <w:r>
        <w:t xml:space="preserve">After Q1 actual revenue of $1.633 billion and Q2 guidance near</w:t>
      </w:r>
      <w:r>
        <w:t xml:space="preserve"> </w:t>
      </w:r>
      <m:oMath>
        <m:r>
          <m:t>1.799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P</m:t>
        </m:r>
        <m:r>
          <m:t>a</m:t>
        </m:r>
        <m:r>
          <m:t>l</m:t>
        </m:r>
        <m:r>
          <m:t>a</m:t>
        </m:r>
        <m:r>
          <m:t>n</m:t>
        </m:r>
        <m:r>
          <m:t>t</m:t>
        </m:r>
        <m:r>
          <m:t>i</m:t>
        </m:r>
        <m:r>
          <m:t>r</m:t>
        </m:r>
        <m:r>
          <m:rPr>
            <m:sty m:val="p"/>
          </m:rPr>
          <m:t>’</m:t>
        </m:r>
        <m:r>
          <m:t>s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t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i</m:t>
        </m:r>
        <m:r>
          <m:t>m</m:t>
        </m:r>
        <m:r>
          <m:t>p</m:t>
        </m:r>
        <m:r>
          <m:t>l</m:t>
        </m:r>
        <m:r>
          <m:t>i</m:t>
        </m:r>
        <m:r>
          <m:t>e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4.224 billion** of revenue across Q3 and Q4 combined—about</w:t>
      </w:r>
      <w:r>
        <w:t xml:space="preserve"> </w:t>
      </w:r>
      <w:r>
        <w:rPr>
          <w:b/>
          <w:bCs/>
        </w:rPr>
        <w:t xml:space="preserve">$2.112 billion per quarter</w:t>
      </w:r>
      <w:r>
        <w:t xml:space="preserve"> </w:t>
      </w:r>
      <w:r>
        <w:t xml:space="preserve">on average.</w:t>
      </w:r>
    </w:p>
    <w:p>
      <w:pPr>
        <w:pStyle w:val="BodyText"/>
      </w:pPr>
      <w:r>
        <w:t xml:space="preserve">That makes the forward guide especially consequential. A raise would signal continued confidence in the conversion of demand into revenue. Conversely, holding full-year guidance despite a Q2 beat may be interpreted as conservatism—or as evidence that management sees normalizing growth, delivery capacity constraints, or government-timing uncertainty later in the year.</w:t>
      </w:r>
    </w:p>
    <w:bookmarkEnd w:id="16"/>
    <w:bookmarkStart w:id="17" w:name="a-constructive-result-likely-requires"/>
    <w:p>
      <w:pPr>
        <w:pStyle w:val="Heading3"/>
      </w:pPr>
      <w:r>
        <w:t xml:space="preserve">A constructive result likely requires</w:t>
      </w:r>
    </w:p>
    <w:p>
      <w:pPr>
        <w:pStyle w:val="Compact"/>
        <w:numPr>
          <w:ilvl w:val="0"/>
          <w:numId w:val="1006"/>
        </w:numPr>
      </w:pPr>
      <w:r>
        <w:t xml:space="preserve">Revenue above the</w:t>
      </w:r>
      <w:r>
        <w:t xml:space="preserve"> </w:t>
      </w:r>
      <m:oMath>
        <m:r>
          <m:t>1.797</m:t>
        </m:r>
        <m:r>
          <m:rPr>
            <m:sty m:val="p"/>
          </m:rPr>
          <m:t>–</m:t>
        </m:r>
      </m:oMath>
      <w:r>
        <w:t xml:space="preserve">1.801 billion guide range;</w:t>
      </w:r>
    </w:p>
    <w:p>
      <w:pPr>
        <w:pStyle w:val="Compact"/>
        <w:numPr>
          <w:ilvl w:val="0"/>
          <w:numId w:val="1006"/>
        </w:numPr>
      </w:pPr>
      <w:r>
        <w:t xml:space="preserve">Adjusted operating income and margin at or above guide;</w:t>
      </w:r>
    </w:p>
    <w:p>
      <w:pPr>
        <w:pStyle w:val="Compact"/>
        <w:numPr>
          <w:ilvl w:val="0"/>
          <w:numId w:val="1006"/>
        </w:numPr>
      </w:pPr>
      <w:r>
        <w:t xml:space="preserve">Triple-digit—or close to triple-digit—U.S. commercial growth;</w:t>
      </w:r>
    </w:p>
    <w:p>
      <w:pPr>
        <w:pStyle w:val="Compact"/>
        <w:numPr>
          <w:ilvl w:val="0"/>
          <w:numId w:val="1006"/>
        </w:numPr>
      </w:pPr>
      <w:r>
        <w:t xml:space="preserve">Continued strong U.S. government growth;</w:t>
      </w:r>
    </w:p>
    <w:p>
      <w:pPr>
        <w:pStyle w:val="Compact"/>
        <w:numPr>
          <w:ilvl w:val="0"/>
          <w:numId w:val="1006"/>
        </w:numPr>
      </w:pPr>
      <w:r>
        <w:t xml:space="preserve">Healthy TCV/RDV/RPO progression;</w:t>
      </w:r>
    </w:p>
    <w:p>
      <w:pPr>
        <w:pStyle w:val="Compact"/>
        <w:numPr>
          <w:ilvl w:val="0"/>
          <w:numId w:val="1006"/>
        </w:numPr>
      </w:pPr>
      <w:r>
        <w:t xml:space="preserve">A raise to FY26 revenue, U.S. commercial revenue, adjusted operating income, or free-cash-flow guidance; and</w:t>
      </w:r>
    </w:p>
    <w:p>
      <w:pPr>
        <w:pStyle w:val="Compact"/>
        <w:numPr>
          <w:ilvl w:val="0"/>
          <w:numId w:val="1006"/>
        </w:numPr>
      </w:pPr>
      <w:r>
        <w:t xml:space="preserve">Credible commentary that enterprise AI spending is moving from experimentation toward scaled operational deployment.</w:t>
      </w:r>
    </w:p>
    <w:bookmarkEnd w:id="17"/>
    <w:bookmarkStart w:id="18" w:name="a-disappointing-result-could-look-like"/>
    <w:p>
      <w:pPr>
        <w:pStyle w:val="Heading3"/>
      </w:pPr>
      <w:r>
        <w:t xml:space="preserve">A disappointing result could look like</w:t>
      </w:r>
    </w:p>
    <w:p>
      <w:pPr>
        <w:pStyle w:val="Compact"/>
        <w:numPr>
          <w:ilvl w:val="0"/>
          <w:numId w:val="1007"/>
        </w:numPr>
      </w:pPr>
      <w:r>
        <w:t xml:space="preserve">Revenue only in line with guide;</w:t>
      </w:r>
    </w:p>
    <w:p>
      <w:pPr>
        <w:pStyle w:val="Compact"/>
        <w:numPr>
          <w:ilvl w:val="0"/>
          <w:numId w:val="1007"/>
        </w:numPr>
      </w:pPr>
      <w:r>
        <w:t xml:space="preserve">U.S. commercial growth decelerating materially below expectations;</w:t>
      </w:r>
    </w:p>
    <w:p>
      <w:pPr>
        <w:pStyle w:val="Compact"/>
        <w:numPr>
          <w:ilvl w:val="0"/>
          <w:numId w:val="1007"/>
        </w:numPr>
      </w:pPr>
      <w:r>
        <w:t xml:space="preserve">Weak bookings, RDV, RPO, or customer-addition trends;</w:t>
      </w:r>
    </w:p>
    <w:p>
      <w:pPr>
        <w:pStyle w:val="Compact"/>
        <w:numPr>
          <w:ilvl w:val="0"/>
          <w:numId w:val="1007"/>
        </w:numPr>
      </w:pPr>
      <w:r>
        <w:t xml:space="preserve">Margin pressure from cloud costs, deployment activity, or hiring;</w:t>
      </w:r>
    </w:p>
    <w:p>
      <w:pPr>
        <w:pStyle w:val="Compact"/>
        <w:numPr>
          <w:ilvl w:val="0"/>
          <w:numId w:val="1007"/>
        </w:numPr>
      </w:pPr>
      <w:r>
        <w:t xml:space="preserve">No FY26 guide increase following an otherwise solid quarter; or</w:t>
      </w:r>
    </w:p>
    <w:p>
      <w:pPr>
        <w:pStyle w:val="Compact"/>
        <w:numPr>
          <w:ilvl w:val="0"/>
          <w:numId w:val="1007"/>
        </w:numPr>
      </w:pPr>
      <w:r>
        <w:t xml:space="preserve">Increased caution around federal funding, international demand, competitive intensity, or capacity to fulfill demand.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stock-and-valuation-context"/>
    <w:p>
      <w:pPr>
        <w:pStyle w:val="Heading2"/>
      </w:pPr>
      <w:r>
        <w:t xml:space="preserve">Stock and valuation context</w:t>
      </w:r>
    </w:p>
    <w:p>
      <w:pPr>
        <w:pStyle w:val="FirstParagraph"/>
      </w:pPr>
      <w:r>
        <w:t xml:space="preserve">PLTR closed at</w:t>
      </w:r>
      <w:r>
        <w:t xml:space="preserve"> </w:t>
      </w:r>
      <w:r>
        <w:rPr>
          <w:b/>
          <w:bCs/>
        </w:rPr>
        <w:t xml:space="preserve">$123.09 on July 31, 2026</w:t>
      </w:r>
      <w:r>
        <w:t xml:space="preserve">, down about</w:t>
      </w:r>
      <w:r>
        <w:t xml:space="preserve"> </w:t>
      </w:r>
      <w:r>
        <w:rPr>
          <w:b/>
          <w:bCs/>
        </w:rPr>
        <w:t xml:space="preserve">15.7%</w:t>
      </w:r>
      <w:r>
        <w:t xml:space="preserve"> </w:t>
      </w:r>
      <w:r>
        <w:t xml:space="preserve">from its May 4 close and roughly</w:t>
      </w:r>
      <w:r>
        <w:t xml:space="preserve"> </w:t>
      </w:r>
      <w:r>
        <w:rPr>
          <w:b/>
          <w:bCs/>
        </w:rPr>
        <w:t xml:space="preserve">23.4%</w:t>
      </w:r>
      <w:r>
        <w:t xml:space="preserve"> </w:t>
      </w:r>
      <w:r>
        <w:t xml:space="preserve">below its early-June high. The pullback has reduced some near-term pressure, but it has not made the shares conventionally inexpensive.</w:t>
      </w:r>
    </w:p>
    <w:p>
      <w:pPr>
        <w:pStyle w:val="BodyText"/>
      </w:pPr>
      <w:r>
        <w:t xml:space="preserve">Using Q1 diluted shares outstanding and the July 31 share price produces an approximate</w:t>
      </w:r>
      <w:r>
        <w:t xml:space="preserve"> </w:t>
      </w:r>
      <w:r>
        <w:rPr>
          <w:b/>
          <w:bCs/>
        </w:rPr>
        <w:t xml:space="preserve">$316 billion equity value</w:t>
      </w:r>
      <w:r>
        <w:t xml:space="preserve">. After netting the $8.0 billion of Q1 cash, cash equivalents, and short-term Treasuries, that equates to roughly</w:t>
      </w:r>
      <w:r>
        <w:t xml:space="preserve"> </w:t>
      </w:r>
      <w:r>
        <w:rPr>
          <w:b/>
          <w:bCs/>
        </w:rPr>
        <w:t xml:space="preserve">40x current FY26 revenue guidance</w:t>
      </w:r>
      <w:r>
        <w:t xml:space="preserve">.</w:t>
      </w:r>
    </w:p>
    <w:p>
      <w:pPr>
        <w:pStyle w:val="BodyText"/>
      </w:pPr>
      <w:r>
        <w:t xml:space="preserve">At that valuation, the market is underwriting more than one strong quarter. It is underwriting durable AI-platform leadership, sustained hypergrowth in U.S. commercial, high conversion of bookings into revenue, and unusually persistent operating leverage.</w:t>
      </w:r>
    </w:p>
    <w:p>
      <w:r>
        <w:pict>
          <v:rect style="width:0;height:1.5pt" o:hralign="center" o:hrstd="t" o:hr="t"/>
        </w:pict>
      </w:r>
    </w:p>
    <w:bookmarkEnd w:id="20"/>
    <w:bookmarkStart w:id="21" w:name="key-risks-going-into-the-print"/>
    <w:p>
      <w:pPr>
        <w:pStyle w:val="Heading2"/>
      </w:pPr>
      <w:r>
        <w:t xml:space="preserve">Key risks going into the print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Expectation risk:</w:t>
      </w:r>
      <w:r>
        <w:t xml:space="preserve"> </w:t>
      </w:r>
      <w:r>
        <w:t xml:space="preserve">A large beat may already be partly reflected in sentiment; the stock could react poorly to merely “good” results.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Growth deceleration:</w:t>
      </w:r>
      <w:r>
        <w:t xml:space="preserve"> </w:t>
      </w:r>
      <w:r>
        <w:t xml:space="preserve">Triple-digit U.S. commercial growth becomes harder to sustain as the revenue base expands.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Government timing:</w:t>
      </w:r>
      <w:r>
        <w:t xml:space="preserve"> </w:t>
      </w:r>
      <w:r>
        <w:t xml:space="preserve">Budget delays, continuing resolutions, procurement timing, or contract-option uncertainty can affect results and outlook.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Competitive and pricing pressure:</w:t>
      </w:r>
      <w:r>
        <w:t xml:space="preserve"> </w:t>
      </w:r>
      <w:r>
        <w:t xml:space="preserve">Hyperscalers, AI labs, enterprise-software vendors, systems integrators, and in-house development all compete for AI budgets.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Execution capacity:</w:t>
      </w:r>
      <w:r>
        <w:t xml:space="preserve"> </w:t>
      </w:r>
      <w:r>
        <w:t xml:space="preserve">Management has said demand is exceptionally strong; delivering on it requires talent, customer-deployment capacity, and scalable go-to-market execution.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International and reputational exposure:</w:t>
      </w:r>
      <w:r>
        <w:t xml:space="preserve"> </w:t>
      </w:r>
      <w:r>
        <w:t xml:space="preserve">International government work, privacy concerns, and scrutiny around defense-related deployments can complicate customer adoption and sales cycles.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Stock-based compensation and dilution:</w:t>
      </w:r>
      <w:r>
        <w:t xml:space="preserve"> </w:t>
      </w:r>
      <w:r>
        <w:t xml:space="preserve">Q1 SBC was $202 million; adjusted metrics should be considered alongside GAAP results and diluted-share trends.</w:t>
      </w:r>
    </w:p>
    <w:p>
      <w:r>
        <w:pict>
          <v:rect style="width:0;height:1.5pt" o:hralign="center" o:hrstd="t" o:hr="t"/>
        </w:pict>
      </w:r>
    </w:p>
    <w:bookmarkEnd w:id="21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Palantir’s Q2 report is fundamentally a</w:t>
      </w:r>
      <w:r>
        <w:t xml:space="preserve"> </w:t>
      </w:r>
      <w:r>
        <w:rPr>
          <w:b/>
          <w:bCs/>
        </w:rPr>
        <w:t xml:space="preserve">guidance-and-proof-of-duration</w:t>
      </w:r>
      <w:r>
        <w:t xml:space="preserve"> </w:t>
      </w:r>
      <w:r>
        <w:t xml:space="preserve">event. The Q1 results demonstrated extraordinary demand, bookings, margins, and cash generation. Q2 needs to show that those results were not an isolated surge.</w:t>
      </w:r>
    </w:p>
    <w:p>
      <w:pPr>
        <w:pStyle w:val="BodyText"/>
      </w:pPr>
      <w:r>
        <w:t xml:space="preserve">The highest-value datapoints will be</w:t>
      </w:r>
      <w:r>
        <w:t xml:space="preserve"> </w:t>
      </w:r>
      <w:r>
        <w:rPr>
          <w:b/>
          <w:bCs/>
        </w:rPr>
        <w:t xml:space="preserve">U.S. commercial growth, U.S. commercial bookings/RDV, government momentum, net dollar retention, margin durability, and the magnitude of any FY26 outlook raise</w:t>
      </w:r>
      <w:r>
        <w:t xml:space="preserve">. A strong print with a material guide increase would support the bull case that Palantir’s AI-platform demand remains supply-constrained and durable. An in-line report or restrained outlook, however, could expose the stock to a sharp reassessment given the growth already embedded in its valuation.</w:t>
      </w:r>
    </w:p>
    <w:bookmarkStart w:id="22" w:name="primary-source-materials-reviewed"/>
    <w:p>
      <w:pPr>
        <w:pStyle w:val="Heading3"/>
      </w:pPr>
      <w:r>
        <w:t xml:space="preserve">Primary source materials reviewed</w:t>
      </w:r>
    </w:p>
    <w:p>
      <w:pPr>
        <w:pStyle w:val="Compact"/>
        <w:numPr>
          <w:ilvl w:val="0"/>
          <w:numId w:val="1009"/>
        </w:numPr>
      </w:pPr>
      <w:r>
        <w:t xml:space="preserve">Palantir Q1 2026 earnings release and earnings-call transcript, May 4, 2026.</w:t>
      </w:r>
    </w:p>
    <w:p>
      <w:pPr>
        <w:pStyle w:val="Compact"/>
        <w:numPr>
          <w:ilvl w:val="0"/>
          <w:numId w:val="1009"/>
        </w:numPr>
      </w:pPr>
      <w:r>
        <w:t xml:space="preserve">Palantir Q1 2026 Form 10-Q, including MD&amp;A and risk factors.</w:t>
      </w:r>
    </w:p>
    <w:p>
      <w:pPr>
        <w:pStyle w:val="Compact"/>
        <w:numPr>
          <w:ilvl w:val="0"/>
          <w:numId w:val="1009"/>
        </w:numPr>
      </w:pPr>
      <w:r>
        <w:t xml:space="preserve">Palantir Q2 2025 earnings release, August 4, 2025.</w:t>
      </w:r>
    </w:p>
    <w:p>
      <w:pPr>
        <w:pStyle w:val="Compact"/>
        <w:numPr>
          <w:ilvl w:val="0"/>
          <w:numId w:val="1009"/>
        </w:numPr>
      </w:pPr>
      <w:r>
        <w:t xml:space="preserve">Recent PLTR market-news digest and historical price data through July 31, 2026.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2026-08-03T00:13:37Z</dcterms:created>
  <dcterms:modified xsi:type="dcterms:W3CDTF">2026-08-03T00:13:37Z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