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Palantir Technologies (PLTR)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Palantir Technologies Inc.</w:t>
            </w:r>
          </w:p>
        </w:tc>
      </w:tr>
      <w:tr>
        <w:tc>
          <w:tcPr>
            <w:tcW w:type="dxa" w:w="4320"/>
          </w:tcPr>
          <w:p>
            <w:r>
              <w:rPr>
                <w:rFonts w:ascii="Calibri" w:hAnsi="Calibri"/>
                <w:b/>
                <w:sz w:val="22"/>
              </w:rPr>
              <w:t>Ticker</w:t>
            </w:r>
          </w:p>
        </w:tc>
        <w:tc>
          <w:tcPr>
            <w:tcW w:type="dxa" w:w="4320"/>
          </w:tcPr>
          <w:p>
            <w:r>
              <w:rPr>
                <w:rFonts w:ascii="Calibri" w:hAnsi="Calibri"/>
                <w:sz w:val="22"/>
              </w:rPr>
              <w:t>PLTR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3, 2026 (after market close)</w:t>
            </w:r>
          </w:p>
        </w:tc>
      </w:tr>
      <w:tr>
        <w:tc>
          <w:tcPr>
            <w:tcW w:type="dxa" w:w="4320"/>
          </w:tcPr>
          <w:p>
            <w:r>
              <w:rPr>
                <w:rFonts w:ascii="Calibri" w:hAnsi="Calibri"/>
                <w:b/>
                <w:sz w:val="22"/>
              </w:rPr>
              <w:t>Prepared Date</w:t>
            </w:r>
          </w:p>
        </w:tc>
        <w:tc>
          <w:tcPr>
            <w:tcW w:type="dxa" w:w="4320"/>
          </w:tcPr>
          <w:p>
            <w:r>
              <w:rPr>
                <w:rFonts w:ascii="Calibri" w:hAnsi="Calibri"/>
                <w:sz w:val="22"/>
              </w:rPr>
              <w:t>August 2, 2026</w:t>
            </w:r>
          </w:p>
        </w:tc>
      </w:tr>
      <w:tr>
        <w:tc>
          <w:tcPr>
            <w:tcW w:type="dxa" w:w="4320"/>
          </w:tcPr>
          <w:p>
            <w:r>
              <w:rPr>
                <w:rFonts w:ascii="Calibri" w:hAnsi="Calibri"/>
                <w:b/>
                <w:sz w:val="22"/>
              </w:rPr>
              <w:t>Sector / ETF Benchmark</w:t>
            </w:r>
          </w:p>
        </w:tc>
        <w:tc>
          <w:tcPr>
            <w:tcW w:type="dxa" w:w="4320"/>
          </w:tcPr>
          <w:p>
            <w:r>
              <w:rPr>
                <w:rFonts w:ascii="Calibri" w:hAnsi="Calibri"/>
                <w:sz w:val="22"/>
              </w:rPr>
              <w:t>Software / IGV (iShares Expanded Tech-Software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a high bar with meaningful beat potential — the single biggest swing factor is whether U.S. Government revenue sustains its Q1 acceleration, which would validate the defense-industrial-base thesis and force another round of estimate revisions higher.</w:t>
      </w:r>
    </w:p>
    <w:p>
      <w:r>
        <w:rPr>
          <w:rFonts w:ascii="Calibri" w:hAnsi="Calibri"/>
          <w:color w:val="525866"/>
          <w:sz w:val="22"/>
        </w:rPr>
        <w:t xml:space="preserve">Heading into Q2 2026, consensus expects </w:t>
      </w:r>
      <w:r>
        <w:rPr>
          <w:rFonts w:ascii="Calibri" w:hAnsi="Calibri"/>
          <w:b/>
          <w:color w:val="525866"/>
          <w:sz w:val="22"/>
        </w:rPr>
        <w:t>$1.814B in revenue (+81% YoY)</w:t>
      </w:r>
      <w:r>
        <w:rPr>
          <w:rFonts w:ascii="Calibri" w:hAnsi="Calibri"/>
          <w:color w:val="525866"/>
          <w:sz w:val="22"/>
        </w:rPr>
        <w:t xml:space="preserve"> and </w:t>
      </w:r>
      <w:r>
        <w:rPr>
          <w:rFonts w:ascii="Calibri" w:hAnsi="Calibri"/>
          <w:b/>
          <w:color w:val="525866"/>
          <w:sz w:val="22"/>
        </w:rPr>
        <w:t>adjusted EPS of $0.35</w:t>
      </w:r>
      <w:r>
        <w:rPr>
          <w:rFonts w:ascii="Calibri" w:hAnsi="Calibri"/>
          <w:color w:val="525866"/>
          <w:sz w:val="22"/>
        </w:rPr>
        <w:t xml:space="preserve"> — a bar that looks achievable but not easy given PLTR has beaten revenue consensus by 6–9% in each of the last four quarters. Management's posture has shifted from confident to unapologetically aggressive: the Q1 print included the largest full-year guidance raise in company history (to 71% YoY growth), and CEO Alex Karp has explicitly framed PLTR as an "N-of-1" category, directly challenging skeptics. Estimate revisions have moved sharply higher since the May 4 print — FY2026 revenue consensus has risen from ~$7.33B to ~$7.74B — tracking well above the initial guidance raise, suggesting the Street is already embedding outperformance. The stock, however, has given back ~16% since earnings (vs. IGV +7%, SPY +4%), compressing the multiple somewhat but still leaving PLTR at a significant premium (80–100x forward P/S), meaning any execution stumble would be severely punished. The key wildcard is </w:t>
      </w:r>
      <w:r>
        <w:rPr>
          <w:rFonts w:ascii="Calibri" w:hAnsi="Calibri"/>
          <w:b/>
          <w:color w:val="525866"/>
          <w:sz w:val="22"/>
        </w:rPr>
        <w:t>U.S. Government revenue</w:t>
      </w:r>
      <w:r>
        <w:rPr>
          <w:rFonts w:ascii="Calibri" w:hAnsi="Calibri"/>
          <w:color w:val="525866"/>
          <w:sz w:val="22"/>
        </w:rPr>
        <w:t>: Q1 saw a sharp acceleration to $687M (+61% YoY), driven by Maven usage quadrupling and the defense-industrial-base (ShipOS/Warp Speed) ramp — if that momentum continues into Q2, it would be the clearest signal yet that PLTR has become critical national-security infrastructure, not just a commercial AI story.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 but beatable bar — PLTR has beaten revenue by 6–9% in each of the last four quarters. </w:t>
      </w:r>
      <w:r>
        <w:rPr>
          <w:rFonts w:ascii="Calibri" w:hAnsi="Calibri"/>
          <w:b/>
          <w:color w:val="525866"/>
          <w:sz w:val="22"/>
        </w:rPr>
        <w:t>U.S. Commercial revenue is the bigger swing factor</w:t>
      </w:r>
      <w:r>
        <w:rPr>
          <w:rFonts w:ascii="Calibri" w:hAnsi="Calibri"/>
          <w:color w:val="525866"/>
          <w:sz w:val="22"/>
        </w:rPr>
        <w:t>: guidance implies ≥120% YoY growth, and any acceleration above that level would be the most powerful signal of AIP’s enterprise penetration velocity.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$1,632.6</w:t>
            </w:r>
          </w:p>
        </w:tc>
        <w:tc>
          <w:tcPr>
            <w:tcW w:type="dxa" w:w="1234"/>
          </w:tcPr>
          <w:p>
            <w:r>
              <w:rPr>
                <w:rFonts w:ascii="Calibri" w:hAnsi="Calibri"/>
                <w:sz w:val="22"/>
              </w:rPr>
              <w:t>$1,003.7</w:t>
            </w:r>
          </w:p>
        </w:tc>
        <w:tc>
          <w:tcPr>
            <w:tcW w:type="dxa" w:w="1234"/>
          </w:tcPr>
          <w:p>
            <w:r>
              <w:rPr>
                <w:rFonts w:ascii="Calibri" w:hAnsi="Calibri"/>
                <w:sz w:val="22"/>
              </w:rPr>
              <w:t>$1,814.3</w:t>
            </w:r>
          </w:p>
        </w:tc>
        <w:tc>
          <w:tcPr>
            <w:tcW w:type="dxa" w:w="1234"/>
          </w:tcPr>
          <w:p>
            <w:r>
              <w:rPr>
                <w:rFonts w:ascii="Calibri" w:hAnsi="Calibri"/>
                <w:sz w:val="22"/>
              </w:rPr>
              <w:t>+81% YoY</w:t>
            </w:r>
          </w:p>
        </w:tc>
        <w:tc>
          <w:tcPr>
            <w:tcW w:type="dxa" w:w="1234"/>
          </w:tcPr>
          <w:p>
            <w:r>
              <w:rPr>
                <w:rFonts w:ascii="Calibri" w:hAnsi="Calibri"/>
                <w:sz w:val="22"/>
              </w:rPr>
              <w:t>$1,790–$1,810M midpoint ~$1,800M</w:t>
            </w:r>
          </w:p>
        </w:tc>
        <w:tc>
          <w:tcPr>
            <w:tcW w:type="dxa" w:w="1234"/>
          </w:tcPr>
          <w:p>
            <w:r>
              <w:rPr>
                <w:rFonts w:ascii="Calibri" w:hAnsi="Calibri"/>
                <w:sz w:val="22"/>
              </w:rPr>
              <w:t>+0.8% above mid</w:t>
            </w:r>
          </w:p>
        </w:tc>
      </w:tr>
      <w:tr>
        <w:tc>
          <w:tcPr>
            <w:tcW w:type="dxa" w:w="1234"/>
          </w:tcPr>
          <w:p>
            <w:r>
              <w:rPr>
                <w:rFonts w:ascii="Calibri" w:hAnsi="Calibri"/>
                <w:sz w:val="22"/>
              </w:rPr>
              <w:t>U.S. Commercial Revenue ($M)</w:t>
            </w:r>
          </w:p>
        </w:tc>
        <w:tc>
          <w:tcPr>
            <w:tcW w:type="dxa" w:w="1234"/>
          </w:tcPr>
          <w:p>
            <w:r>
              <w:rPr>
                <w:rFonts w:ascii="Calibri" w:hAnsi="Calibri"/>
                <w:sz w:val="22"/>
              </w:rPr>
              <w:t>$595.0</w:t>
            </w:r>
          </w:p>
        </w:tc>
        <w:tc>
          <w:tcPr>
            <w:tcW w:type="dxa" w:w="1234"/>
          </w:tcPr>
          <w:p>
            <w:r>
              <w:rPr>
                <w:rFonts w:ascii="Calibri" w:hAnsi="Calibri"/>
                <w:sz w:val="22"/>
              </w:rPr>
              <w:t>$306.0</w:t>
            </w:r>
          </w:p>
        </w:tc>
        <w:tc>
          <w:tcPr>
            <w:tcW w:type="dxa" w:w="1234"/>
          </w:tcPr>
          <w:p>
            <w:r>
              <w:rPr>
                <w:rFonts w:ascii="Calibri" w:hAnsi="Calibri"/>
                <w:sz w:val="22"/>
              </w:rPr>
              <w:t>$717.9</w:t>
            </w:r>
          </w:p>
        </w:tc>
        <w:tc>
          <w:tcPr>
            <w:tcW w:type="dxa" w:w="1234"/>
          </w:tcPr>
          <w:p>
            <w:r>
              <w:rPr>
                <w:rFonts w:ascii="Calibri" w:hAnsi="Calibri"/>
                <w:sz w:val="22"/>
              </w:rPr>
              <w:t>+135% YoY</w:t>
            </w:r>
          </w:p>
        </w:tc>
        <w:tc>
          <w:tcPr>
            <w:tcW w:type="dxa" w:w="1234"/>
          </w:tcPr>
          <w:p>
            <w:r>
              <w:rPr>
                <w:rFonts w:ascii="Calibri" w:hAnsi="Calibri"/>
                <w:sz w:val="22"/>
              </w:rPr>
              <w:t>≥120% YoY growth</w:t>
            </w:r>
          </w:p>
        </w:tc>
        <w:tc>
          <w:tcPr>
            <w:tcW w:type="dxa" w:w="1234"/>
          </w:tcPr>
          <w:p>
            <w:r>
              <w:rPr>
                <w:rFonts w:ascii="Calibri" w:hAnsi="Calibri"/>
                <w:sz w:val="22"/>
              </w:rPr>
              <w:t>Above guidance floor</w:t>
            </w:r>
          </w:p>
        </w:tc>
      </w:tr>
      <w:tr>
        <w:tc>
          <w:tcPr>
            <w:tcW w:type="dxa" w:w="1234"/>
          </w:tcPr>
          <w:p>
            <w:r>
              <w:rPr>
                <w:rFonts w:ascii="Calibri" w:hAnsi="Calibri"/>
                <w:sz w:val="22"/>
              </w:rPr>
              <w:t>U.S. Government Revenue ($M)</w:t>
            </w:r>
          </w:p>
        </w:tc>
        <w:tc>
          <w:tcPr>
            <w:tcW w:type="dxa" w:w="1234"/>
          </w:tcPr>
          <w:p>
            <w:r>
              <w:rPr>
                <w:rFonts w:ascii="Calibri" w:hAnsi="Calibri"/>
                <w:sz w:val="22"/>
              </w:rPr>
              <w:t>$687.0</w:t>
            </w:r>
          </w:p>
        </w:tc>
        <w:tc>
          <w:tcPr>
            <w:tcW w:type="dxa" w:w="1234"/>
          </w:tcPr>
          <w:p>
            <w:r>
              <w:rPr>
                <w:rFonts w:ascii="Calibri" w:hAnsi="Calibri"/>
                <w:sz w:val="22"/>
              </w:rPr>
              <w:t>$426.0</w:t>
            </w:r>
          </w:p>
        </w:tc>
        <w:tc>
          <w:tcPr>
            <w:tcW w:type="dxa" w:w="1234"/>
          </w:tcPr>
          <w:p>
            <w:r>
              <w:rPr>
                <w:rFonts w:ascii="Calibri" w:hAnsi="Calibri"/>
                <w:sz w:val="22"/>
              </w:rPr>
              <w:t>$742.1</w:t>
            </w:r>
          </w:p>
        </w:tc>
        <w:tc>
          <w:tcPr>
            <w:tcW w:type="dxa" w:w="1234"/>
          </w:tcPr>
          <w:p>
            <w:r>
              <w:rPr>
                <w:rFonts w:ascii="Calibri" w:hAnsi="Calibri"/>
                <w:sz w:val="22"/>
              </w:rPr>
              <w:t>+74% YoY</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International Commercial Revenue ($M)</w:t>
            </w:r>
          </w:p>
        </w:tc>
        <w:tc>
          <w:tcPr>
            <w:tcW w:type="dxa" w:w="1234"/>
          </w:tcPr>
          <w:p>
            <w:r>
              <w:rPr>
                <w:rFonts w:ascii="Calibri" w:hAnsi="Calibri"/>
                <w:sz w:val="22"/>
              </w:rPr>
              <w:t>$179.0</w:t>
            </w:r>
          </w:p>
        </w:tc>
        <w:tc>
          <w:tcPr>
            <w:tcW w:type="dxa" w:w="1234"/>
          </w:tcPr>
          <w:p>
            <w:r>
              <w:rPr>
                <w:rFonts w:ascii="Calibri" w:hAnsi="Calibri"/>
                <w:sz w:val="22"/>
              </w:rPr>
              <w:t>$145.0</w:t>
            </w:r>
          </w:p>
        </w:tc>
        <w:tc>
          <w:tcPr>
            <w:tcW w:type="dxa" w:w="1234"/>
          </w:tcPr>
          <w:p>
            <w:r>
              <w:rPr>
                <w:rFonts w:ascii="Calibri" w:hAnsi="Calibri"/>
                <w:sz w:val="22"/>
              </w:rPr>
              <w:t>$172.4</w:t>
            </w:r>
          </w:p>
        </w:tc>
        <w:tc>
          <w:tcPr>
            <w:tcW w:type="dxa" w:w="1234"/>
          </w:tcPr>
          <w:p>
            <w:r>
              <w:rPr>
                <w:rFonts w:ascii="Calibri" w:hAnsi="Calibri"/>
                <w:sz w:val="22"/>
              </w:rPr>
              <w:t>+19% YoY</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International Government Revenue ($M)</w:t>
            </w:r>
          </w:p>
        </w:tc>
        <w:tc>
          <w:tcPr>
            <w:tcW w:type="dxa" w:w="1234"/>
          </w:tcPr>
          <w:p>
            <w:r>
              <w:rPr>
                <w:rFonts w:ascii="Calibri" w:hAnsi="Calibri"/>
                <w:sz w:val="22"/>
              </w:rPr>
              <w:t>$171.0</w:t>
            </w:r>
          </w:p>
        </w:tc>
        <w:tc>
          <w:tcPr>
            <w:tcW w:type="dxa" w:w="1234"/>
          </w:tcPr>
          <w:p>
            <w:r>
              <w:rPr>
                <w:rFonts w:ascii="Calibri" w:hAnsi="Calibri"/>
                <w:sz w:val="22"/>
              </w:rPr>
              <w:t>$127.0</w:t>
            </w:r>
          </w:p>
        </w:tc>
        <w:tc>
          <w:tcPr>
            <w:tcW w:type="dxa" w:w="1234"/>
          </w:tcPr>
          <w:p>
            <w:r>
              <w:rPr>
                <w:rFonts w:ascii="Calibri" w:hAnsi="Calibri"/>
                <w:sz w:val="22"/>
              </w:rPr>
              <w:t>$175.9</w:t>
            </w:r>
          </w:p>
        </w:tc>
        <w:tc>
          <w:tcPr>
            <w:tcW w:type="dxa" w:w="1234"/>
          </w:tcPr>
          <w:p>
            <w:r>
              <w:rPr>
                <w:rFonts w:ascii="Calibri" w:hAnsi="Calibri"/>
                <w:sz w:val="22"/>
              </w:rPr>
              <w:t>+39% YoY</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Adj. Operating Income ($M)</w:t>
            </w:r>
          </w:p>
        </w:tc>
        <w:tc>
          <w:tcPr>
            <w:tcW w:type="dxa" w:w="1234"/>
          </w:tcPr>
          <w:p>
            <w:r>
              <w:rPr>
                <w:rFonts w:ascii="Calibri" w:hAnsi="Calibri"/>
                <w:sz w:val="22"/>
              </w:rPr>
              <w:t>$983.5</w:t>
            </w:r>
          </w:p>
        </w:tc>
        <w:tc>
          <w:tcPr>
            <w:tcW w:type="dxa" w:w="1234"/>
          </w:tcPr>
          <w:p>
            <w:r>
              <w:rPr>
                <w:rFonts w:ascii="Calibri" w:hAnsi="Calibri"/>
                <w:sz w:val="22"/>
              </w:rPr>
              <w:t>$464.4</w:t>
            </w:r>
          </w:p>
        </w:tc>
        <w:tc>
          <w:tcPr>
            <w:tcW w:type="dxa" w:w="1234"/>
          </w:tcPr>
          <w:p>
            <w:r>
              <w:rPr>
                <w:rFonts w:ascii="Calibri" w:hAnsi="Calibri"/>
                <w:sz w:val="22"/>
              </w:rPr>
              <w:t>$1,082.4</w:t>
            </w:r>
          </w:p>
        </w:tc>
        <w:tc>
          <w:tcPr>
            <w:tcW w:type="dxa" w:w="1234"/>
          </w:tcPr>
          <w:p>
            <w:r>
              <w:rPr>
                <w:rFonts w:ascii="Calibri" w:hAnsi="Calibri"/>
                <w:sz w:val="22"/>
              </w:rPr>
              <w:t>+133% YoY</w:t>
            </w:r>
          </w:p>
        </w:tc>
        <w:tc>
          <w:tcPr>
            <w:tcW w:type="dxa" w:w="1234"/>
          </w:tcPr>
          <w:p>
            <w:r>
              <w:rPr>
                <w:rFonts w:ascii="Calibri" w:hAnsi="Calibri"/>
                <w:sz w:val="22"/>
              </w:rPr>
              <w:t>Adj. Op. Income ~$1,070–$1,090M (implied ~60% margin)</w:t>
            </w:r>
          </w:p>
        </w:tc>
        <w:tc>
          <w:tcPr>
            <w:tcW w:type="dxa" w:w="1234"/>
          </w:tcPr>
          <w:p>
            <w:r>
              <w:rPr>
                <w:rFonts w:ascii="Calibri" w:hAnsi="Calibri"/>
                <w:sz w:val="22"/>
              </w:rPr>
              <w:t>~+1% above mid</w:t>
            </w:r>
          </w:p>
        </w:tc>
      </w:tr>
      <w:tr>
        <w:tc>
          <w:tcPr>
            <w:tcW w:type="dxa" w:w="1234"/>
          </w:tcPr>
          <w:p>
            <w:r>
              <w:rPr>
                <w:rFonts w:ascii="Calibri" w:hAnsi="Calibri"/>
                <w:sz w:val="22"/>
              </w:rPr>
              <w:t>Adj. EPS - Diluted ($)</w:t>
            </w:r>
          </w:p>
        </w:tc>
        <w:tc>
          <w:tcPr>
            <w:tcW w:type="dxa" w:w="1234"/>
          </w:tcPr>
          <w:p>
            <w:r>
              <w:rPr>
                <w:rFonts w:ascii="Calibri" w:hAnsi="Calibri"/>
                <w:sz w:val="22"/>
              </w:rPr>
              <w:t>$0.33</w:t>
            </w:r>
          </w:p>
        </w:tc>
        <w:tc>
          <w:tcPr>
            <w:tcW w:type="dxa" w:w="1234"/>
          </w:tcPr>
          <w:p>
            <w:r>
              <w:rPr>
                <w:rFonts w:ascii="Calibri" w:hAnsi="Calibri"/>
                <w:sz w:val="22"/>
              </w:rPr>
              <w:t>$0.16</w:t>
            </w:r>
          </w:p>
        </w:tc>
        <w:tc>
          <w:tcPr>
            <w:tcW w:type="dxa" w:w="1234"/>
          </w:tcPr>
          <w:p>
            <w:r>
              <w:rPr>
                <w:rFonts w:ascii="Calibri" w:hAnsi="Calibri"/>
                <w:sz w:val="22"/>
              </w:rPr>
              <w:t>$0.35</w:t>
            </w:r>
          </w:p>
        </w:tc>
        <w:tc>
          <w:tcPr>
            <w:tcW w:type="dxa" w:w="1234"/>
          </w:tcPr>
          <w:p>
            <w:r>
              <w:rPr>
                <w:rFonts w:ascii="Calibri" w:hAnsi="Calibri"/>
                <w:sz w:val="22"/>
              </w:rPr>
              <w:t>+119% YoY</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Adj. Free Cash Flow ($M)</w:t>
            </w:r>
          </w:p>
        </w:tc>
        <w:tc>
          <w:tcPr>
            <w:tcW w:type="dxa" w:w="1234"/>
          </w:tcPr>
          <w:p>
            <w:r>
              <w:rPr>
                <w:rFonts w:ascii="Calibri" w:hAnsi="Calibri"/>
                <w:sz w:val="22"/>
              </w:rPr>
              <w:t>$924.6</w:t>
            </w:r>
          </w:p>
        </w:tc>
        <w:tc>
          <w:tcPr>
            <w:tcW w:type="dxa" w:w="1234"/>
          </w:tcPr>
          <w:p>
            <w:r>
              <w:rPr>
                <w:rFonts w:ascii="Calibri" w:hAnsi="Calibri"/>
                <w:sz w:val="22"/>
              </w:rPr>
              <w:t>$568.8</w:t>
            </w:r>
          </w:p>
        </w:tc>
        <w:tc>
          <w:tcPr>
            <w:tcW w:type="dxa" w:w="1234"/>
          </w:tcPr>
          <w:p>
            <w:r>
              <w:rPr>
                <w:rFonts w:ascii="Calibri" w:hAnsi="Calibri"/>
                <w:sz w:val="22"/>
              </w:rPr>
              <w:t>$1,105.0</w:t>
            </w:r>
          </w:p>
        </w:tc>
        <w:tc>
          <w:tcPr>
            <w:tcW w:type="dxa" w:w="1234"/>
          </w:tcPr>
          <w:p>
            <w:r>
              <w:rPr>
                <w:rFonts w:ascii="Calibri" w:hAnsi="Calibri"/>
                <w:sz w:val="22"/>
              </w:rPr>
              <w:t>+94% YoY</w:t>
            </w:r>
          </w:p>
        </w:tc>
        <w:tc>
          <w:tcPr>
            <w:tcW w:type="dxa" w:w="1234"/>
          </w:tcPr>
          <w:p>
            <w:r>
              <w:rPr>
                <w:rFonts w:ascii="Calibri" w:hAnsi="Calibri"/>
                <w:sz w:val="22"/>
              </w:rPr>
              <w:t>FY2026 adj. FCF guidance raised</w:t>
            </w:r>
          </w:p>
        </w:tc>
        <w:tc>
          <w:tcPr>
            <w:tcW w:type="dxa" w:w="1234"/>
          </w:tcPr>
          <w:p>
            <w:r>
              <w:rPr>
                <w:rFonts w:ascii="Calibri" w:hAnsi="Calibri"/>
                <w:sz w:val="22"/>
              </w:rPr>
              <w:t>N/A (FY only)</w:t>
            </w:r>
          </w:p>
        </w:tc>
      </w:tr>
      <w:tr>
        <w:tc>
          <w:tcPr>
            <w:tcW w:type="dxa" w:w="1234"/>
          </w:tcPr>
          <w:p>
            <w:r>
              <w:rPr>
                <w:rFonts w:ascii="Calibri" w:hAnsi="Calibri"/>
                <w:sz w:val="22"/>
              </w:rPr>
              <w:t>Total Customers (#)</w:t>
            </w:r>
          </w:p>
        </w:tc>
        <w:tc>
          <w:tcPr>
            <w:tcW w:type="dxa" w:w="1234"/>
          </w:tcPr>
          <w:p>
            <w:r>
              <w:rPr>
                <w:rFonts w:ascii="Calibri" w:hAnsi="Calibri"/>
                <w:sz w:val="22"/>
              </w:rPr>
              <w:t>1,007</w:t>
            </w:r>
          </w:p>
        </w:tc>
        <w:tc>
          <w:tcPr>
            <w:tcW w:type="dxa" w:w="1234"/>
          </w:tcPr>
          <w:p>
            <w:r>
              <w:rPr>
                <w:rFonts w:ascii="Calibri" w:hAnsi="Calibri"/>
                <w:sz w:val="22"/>
              </w:rPr>
              <w:t>849</w:t>
            </w:r>
          </w:p>
        </w:tc>
        <w:tc>
          <w:tcPr>
            <w:tcW w:type="dxa" w:w="1234"/>
          </w:tcPr>
          <w:p>
            <w:r>
              <w:rPr>
                <w:rFonts w:ascii="Calibri" w:hAnsi="Calibri"/>
                <w:sz w:val="22"/>
              </w:rPr>
              <w:t>1,067</w:t>
            </w:r>
          </w:p>
        </w:tc>
        <w:tc>
          <w:tcPr>
            <w:tcW w:type="dxa" w:w="1234"/>
          </w:tcPr>
          <w:p>
            <w:r>
              <w:rPr>
                <w:rFonts w:ascii="Calibri" w:hAnsi="Calibri"/>
                <w:sz w:val="22"/>
              </w:rPr>
              <w:t>+26% YoY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midpoint derived from Q1 2026 earnings call (May 4, 2026). All revenue figures in USD millions.</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Revenue &amp; Adjusted EPS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$1,632.6</w:t>
            </w:r>
          </w:p>
        </w:tc>
        <w:tc>
          <w:tcPr>
            <w:tcW w:type="dxa" w:w="1440"/>
          </w:tcPr>
          <w:p>
            <w:r>
              <w:rPr>
                <w:rFonts w:ascii="Calibri" w:hAnsi="Calibri"/>
                <w:sz w:val="22"/>
              </w:rPr>
              <w:t>$1,539.2</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 ($)</w:t>
            </w:r>
          </w:p>
        </w:tc>
        <w:tc>
          <w:tcPr>
            <w:tcW w:type="dxa" w:w="1440"/>
          </w:tcPr>
          <w:p>
            <w:r>
              <w:rPr>
                <w:rFonts w:ascii="Calibri" w:hAnsi="Calibri"/>
                <w:sz w:val="22"/>
              </w:rPr>
              <w:t>$0.33</w:t>
            </w:r>
          </w:p>
        </w:tc>
        <w:tc>
          <w:tcPr>
            <w:tcW w:type="dxa" w:w="1440"/>
          </w:tcPr>
          <w:p>
            <w:r>
              <w:rPr>
                <w:rFonts w:ascii="Calibri" w:hAnsi="Calibri"/>
                <w:sz w:val="22"/>
              </w:rPr>
              <w:t>$0.28</w:t>
            </w:r>
          </w:p>
        </w:tc>
        <w:tc>
          <w:tcPr>
            <w:tcW w:type="dxa" w:w="1440"/>
          </w:tcPr>
          <w:p>
            <w:r>
              <w:rPr>
                <w:rFonts w:ascii="Calibri" w:hAnsi="Calibri"/>
                <w:b/>
                <w:color w:val="30A46C"/>
                <w:sz w:val="22"/>
              </w:rPr>
              <w:t>+18.0%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$1,406.8</w:t>
            </w:r>
          </w:p>
        </w:tc>
        <w:tc>
          <w:tcPr>
            <w:tcW w:type="dxa" w:w="1440"/>
          </w:tcPr>
          <w:p>
            <w:r>
              <w:rPr>
                <w:rFonts w:ascii="Calibri" w:hAnsi="Calibri"/>
                <w:sz w:val="22"/>
              </w:rPr>
              <w:t>$1,340.5</w:t>
            </w:r>
          </w:p>
        </w:tc>
        <w:tc>
          <w:tcPr>
            <w:tcW w:type="dxa" w:w="1440"/>
          </w:tcPr>
          <w:p>
            <w:r>
              <w:rPr>
                <w:rFonts w:ascii="Calibri" w:hAnsi="Calibri"/>
                <w:b/>
                <w:color w:val="30A46C"/>
                <w:sz w:val="22"/>
              </w:rPr>
              <w:t>+4.9%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 ($)</w:t>
            </w:r>
          </w:p>
        </w:tc>
        <w:tc>
          <w:tcPr>
            <w:tcW w:type="dxa" w:w="1440"/>
          </w:tcPr>
          <w:p>
            <w:r>
              <w:rPr>
                <w:rFonts w:ascii="Calibri" w:hAnsi="Calibri"/>
                <w:sz w:val="22"/>
              </w:rPr>
              <w:t>$0.25</w:t>
            </w:r>
          </w:p>
        </w:tc>
        <w:tc>
          <w:tcPr>
            <w:tcW w:type="dxa" w:w="1440"/>
          </w:tcPr>
          <w:p>
            <w:r>
              <w:rPr>
                <w:rFonts w:ascii="Calibri" w:hAnsi="Calibri"/>
                <w:sz w:val="22"/>
              </w:rPr>
              <w:t>$0.23</w:t>
            </w:r>
          </w:p>
        </w:tc>
        <w:tc>
          <w:tcPr>
            <w:tcW w:type="dxa" w:w="1440"/>
          </w:tcPr>
          <w:p>
            <w:r>
              <w:rPr>
                <w:rFonts w:ascii="Calibri" w:hAnsi="Calibri"/>
                <w:b/>
                <w:color w:val="30A46C"/>
                <w:sz w:val="22"/>
              </w:rPr>
              <w:t>+8.7%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$1,181.1</w:t>
            </w:r>
          </w:p>
        </w:tc>
        <w:tc>
          <w:tcPr>
            <w:tcW w:type="dxa" w:w="1440"/>
          </w:tcPr>
          <w:p>
            <w:r>
              <w:rPr>
                <w:rFonts w:ascii="Calibri" w:hAnsi="Calibri"/>
                <w:sz w:val="22"/>
              </w:rPr>
              <w:t>$1,093.1</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 ($)</w:t>
            </w:r>
          </w:p>
        </w:tc>
        <w:tc>
          <w:tcPr>
            <w:tcW w:type="dxa" w:w="1440"/>
          </w:tcPr>
          <w:p>
            <w:r>
              <w:rPr>
                <w:rFonts w:ascii="Calibri" w:hAnsi="Calibri"/>
                <w:sz w:val="22"/>
              </w:rPr>
              <w:t>$0.21</w:t>
            </w:r>
          </w:p>
        </w:tc>
        <w:tc>
          <w:tcPr>
            <w:tcW w:type="dxa" w:w="1440"/>
          </w:tcPr>
          <w:p>
            <w:r>
              <w:rPr>
                <w:rFonts w:ascii="Calibri" w:hAnsi="Calibri"/>
                <w:sz w:val="22"/>
              </w:rPr>
              <w:t>$0.17</w:t>
            </w:r>
          </w:p>
        </w:tc>
        <w:tc>
          <w:tcPr>
            <w:tcW w:type="dxa" w:w="1440"/>
          </w:tcPr>
          <w:p>
            <w:r>
              <w:rPr>
                <w:rFonts w:ascii="Calibri" w:hAnsi="Calibri"/>
                <w:b/>
                <w:color w:val="30A46C"/>
                <w:sz w:val="22"/>
              </w:rPr>
              <w:t>+23.5%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$1,003.7</w:t>
            </w:r>
          </w:p>
        </w:tc>
        <w:tc>
          <w:tcPr>
            <w:tcW w:type="dxa" w:w="1440"/>
          </w:tcPr>
          <w:p>
            <w:r>
              <w:rPr>
                <w:rFonts w:ascii="Calibri" w:hAnsi="Calibri"/>
                <w:sz w:val="22"/>
              </w:rPr>
              <w:t>$939.5</w:t>
            </w:r>
          </w:p>
        </w:tc>
        <w:tc>
          <w:tcPr>
            <w:tcW w:type="dxa" w:w="1440"/>
          </w:tcPr>
          <w:p>
            <w:r>
              <w:rPr>
                <w:rFonts w:ascii="Calibri" w:hAnsi="Calibri"/>
                <w:b/>
                <w:color w:val="30A46C"/>
                <w:sz w:val="22"/>
              </w:rPr>
              <w:t>+6.8%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 ($)</w:t>
            </w:r>
          </w:p>
        </w:tc>
        <w:tc>
          <w:tcPr>
            <w:tcW w:type="dxa" w:w="1440"/>
          </w:tcPr>
          <w:p>
            <w:r>
              <w:rPr>
                <w:rFonts w:ascii="Calibri" w:hAnsi="Calibri"/>
                <w:sz w:val="22"/>
              </w:rPr>
              <w:t>$0.16</w:t>
            </w:r>
          </w:p>
        </w:tc>
        <w:tc>
          <w:tcPr>
            <w:tcW w:type="dxa" w:w="1440"/>
          </w:tcPr>
          <w:p>
            <w:r>
              <w:rPr>
                <w:rFonts w:ascii="Calibri" w:hAnsi="Calibri"/>
                <w:sz w:val="22"/>
              </w:rPr>
              <w:t>$0.14</w:t>
            </w:r>
          </w:p>
        </w:tc>
        <w:tc>
          <w:tcPr>
            <w:tcW w:type="dxa" w:w="1440"/>
          </w:tcPr>
          <w:p>
            <w:r>
              <w:rPr>
                <w:rFonts w:ascii="Calibri" w:hAnsi="Calibri"/>
                <w:b/>
                <w:color w:val="30A46C"/>
                <w:sz w:val="22"/>
              </w:rPr>
              <w:t>+14.3%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~$884M (est.)</w:t>
            </w:r>
          </w:p>
        </w:tc>
        <w:tc>
          <w:tcPr>
            <w:tcW w:type="dxa" w:w="1440"/>
          </w:tcPr>
          <w:p>
            <w:r>
              <w:rPr>
                <w:rFonts w:ascii="Calibri" w:hAnsi="Calibri"/>
                <w:sz w:val="22"/>
              </w:rPr>
              <w:t>~$830M (est.)</w:t>
            </w:r>
          </w:p>
        </w:tc>
        <w:tc>
          <w:tcPr>
            <w:tcW w:type="dxa" w:w="1440"/>
          </w:tcPr>
          <w:p>
            <w:r>
              <w:rPr>
                <w:rFonts w:ascii="Calibri" w:hAnsi="Calibri"/>
                <w:sz w:val="22"/>
              </w:rPr>
              <w:t>~+6.5%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 ($)</w:t>
            </w:r>
          </w:p>
        </w:tc>
        <w:tc>
          <w:tcPr>
            <w:tcW w:type="dxa" w:w="1440"/>
          </w:tcPr>
          <w:p>
            <w:r>
              <w:rPr>
                <w:rFonts w:ascii="Calibri" w:hAnsi="Calibri"/>
                <w:sz w:val="22"/>
              </w:rPr>
              <w:t>~$0.13 (est.)</w:t>
            </w:r>
          </w:p>
        </w:tc>
        <w:tc>
          <w:tcPr>
            <w:tcW w:type="dxa" w:w="1440"/>
          </w:tcPr>
          <w:p>
            <w:r>
              <w:rPr>
                <w:rFonts w:ascii="Calibri" w:hAnsi="Calibri"/>
                <w:sz w:val="22"/>
              </w:rPr>
              <w:t>~$0.11 (est.)</w:t>
            </w:r>
          </w:p>
        </w:tc>
        <w:tc>
          <w:tcPr>
            <w:tcW w:type="dxa" w:w="1440"/>
          </w:tcPr>
          <w:p>
            <w:r>
              <w:rPr>
                <w:rFonts w:ascii="Calibri" w:hAnsi="Calibri"/>
                <w:sz w:val="22"/>
              </w:rPr>
              <w:t>~+18%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~$828M (est.)</w:t>
            </w:r>
          </w:p>
        </w:tc>
        <w:tc>
          <w:tcPr>
            <w:tcW w:type="dxa" w:w="1440"/>
          </w:tcPr>
          <w:p>
            <w:r>
              <w:rPr>
                <w:rFonts w:ascii="Calibri" w:hAnsi="Calibri"/>
                <w:sz w:val="22"/>
              </w:rPr>
              <w:t>~$780M (est.)</w:t>
            </w:r>
          </w:p>
        </w:tc>
        <w:tc>
          <w:tcPr>
            <w:tcW w:type="dxa" w:w="1440"/>
          </w:tcPr>
          <w:p>
            <w:r>
              <w:rPr>
                <w:rFonts w:ascii="Calibri" w:hAnsi="Calibri"/>
                <w:sz w:val="22"/>
              </w:rPr>
              <w:t>~+6%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 ($)</w:t>
            </w:r>
          </w:p>
        </w:tc>
        <w:tc>
          <w:tcPr>
            <w:tcW w:type="dxa" w:w="1440"/>
          </w:tcPr>
          <w:p>
            <w:r>
              <w:rPr>
                <w:rFonts w:ascii="Calibri" w:hAnsi="Calibri"/>
                <w:sz w:val="22"/>
              </w:rPr>
              <w:t>~$0.11 (est.)</w:t>
            </w:r>
          </w:p>
        </w:tc>
        <w:tc>
          <w:tcPr>
            <w:tcW w:type="dxa" w:w="1440"/>
          </w:tcPr>
          <w:p>
            <w:r>
              <w:rPr>
                <w:rFonts w:ascii="Calibri" w:hAnsi="Calibri"/>
                <w:sz w:val="22"/>
              </w:rPr>
              <w:t>~$0.09 (est.)</w:t>
            </w:r>
          </w:p>
        </w:tc>
        <w:tc>
          <w:tcPr>
            <w:tcW w:type="dxa" w:w="1440"/>
          </w:tcPr>
          <w:p>
            <w:r>
              <w:rPr>
                <w:rFonts w:ascii="Calibri" w:hAnsi="Calibri"/>
                <w:sz w:val="22"/>
              </w:rPr>
              <w:t>~+22%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~$726M (est.)</w:t>
            </w:r>
          </w:p>
        </w:tc>
        <w:tc>
          <w:tcPr>
            <w:tcW w:type="dxa" w:w="1440"/>
          </w:tcPr>
          <w:p>
            <w:r>
              <w:rPr>
                <w:rFonts w:ascii="Calibri" w:hAnsi="Calibri"/>
                <w:sz w:val="22"/>
              </w:rPr>
              <w:t>~$700M (est.)</w:t>
            </w:r>
          </w:p>
        </w:tc>
        <w:tc>
          <w:tcPr>
            <w:tcW w:type="dxa" w:w="1440"/>
          </w:tcPr>
          <w:p>
            <w:r>
              <w:rPr>
                <w:rFonts w:ascii="Calibri" w:hAnsi="Calibri"/>
                <w:sz w:val="22"/>
              </w:rPr>
              <w:t>~+3.7%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 ($)</w:t>
            </w:r>
          </w:p>
        </w:tc>
        <w:tc>
          <w:tcPr>
            <w:tcW w:type="dxa" w:w="1440"/>
          </w:tcPr>
          <w:p>
            <w:r>
              <w:rPr>
                <w:rFonts w:ascii="Calibri" w:hAnsi="Calibri"/>
                <w:sz w:val="22"/>
              </w:rPr>
              <w:t>~$0.10 (est.)</w:t>
            </w:r>
          </w:p>
        </w:tc>
        <w:tc>
          <w:tcPr>
            <w:tcW w:type="dxa" w:w="1440"/>
          </w:tcPr>
          <w:p>
            <w:r>
              <w:rPr>
                <w:rFonts w:ascii="Calibri" w:hAnsi="Calibri"/>
                <w:sz w:val="22"/>
              </w:rPr>
              <w:t>~$0.09 (est.)</w:t>
            </w:r>
          </w:p>
        </w:tc>
        <w:tc>
          <w:tcPr>
            <w:tcW w:type="dxa" w:w="1440"/>
          </w:tcPr>
          <w:p>
            <w:r>
              <w:rPr>
                <w:rFonts w:ascii="Calibri" w:hAnsi="Calibri"/>
                <w:sz w:val="22"/>
              </w:rPr>
              <w:t>~+11%</w:t>
            </w:r>
          </w:p>
        </w:tc>
        <w:tc>
          <w:tcPr>
            <w:tcW w:type="dxa" w:w="1440"/>
          </w:tcPr>
          <w:p>
            <w:r>
              <w:rPr>
                <w:rFonts w:ascii="Calibri" w:hAnsi="Calibri"/>
                <w:sz w:val="22"/>
              </w:rPr>
              <w:t>Beat</w:t>
            </w:r>
          </w:p>
        </w:tc>
      </w:tr>
    </w:tbl>
    <w:p>
      <w:r>
        <w:rPr>
          <w:rFonts w:ascii="Calibri" w:hAnsi="Calibri"/>
          <w:i/>
          <w:color w:val="525866"/>
          <w:sz w:val="22"/>
        </w:rPr>
        <w:t>Source: Visible Alpha Consensus and Actuals Data. Q1 2025 and earlier figures are approximate estimates based on available VA data and company filings.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the Q1 2026 print — FY2026 revenue consensus is up ~$410M from the post-earnings baseline — and are now tracking above the top of guidance, suggesting the Street is already pricing in outperformance. </w:t>
      </w:r>
      <w:r>
        <w:rPr>
          <w:rFonts w:ascii="Calibri" w:hAnsi="Calibri"/>
          <w:b/>
          <w:color w:val="525866"/>
          <w:sz w:val="22"/>
        </w:rPr>
        <w:t>The risk is that the bar has been raised faster than the business can clear it.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9,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$1,813M</w:t>
            </w:r>
          </w:p>
        </w:tc>
        <w:tc>
          <w:tcPr>
            <w:tcW w:type="dxa" w:w="1080"/>
          </w:tcPr>
          <w:p>
            <w:r>
              <w:rPr>
                <w:rFonts w:ascii="Calibri" w:hAnsi="Calibri"/>
                <w:sz w:val="22"/>
              </w:rPr>
              <w:t>$1,814M</w:t>
            </w:r>
          </w:p>
        </w:tc>
        <w:tc>
          <w:tcPr>
            <w:tcW w:type="dxa" w:w="1080"/>
          </w:tcPr>
          <w:p>
            <w:r>
              <w:rPr>
                <w:rFonts w:ascii="Calibri" w:hAnsi="Calibri"/>
                <w:sz w:val="22"/>
              </w:rPr>
              <w:t>+0.1%</w:t>
            </w:r>
          </w:p>
        </w:tc>
        <w:tc>
          <w:tcPr>
            <w:tcW w:type="dxa" w:w="1080"/>
          </w:tcPr>
          <w:p>
            <w:r>
              <w:rPr>
                <w:rFonts w:ascii="Calibri" w:hAnsi="Calibri"/>
                <w:sz w:val="22"/>
              </w:rPr>
              <w:t>$1,790–$1,810M (mid: $1,800M)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w:t>
            </w:r>
          </w:p>
        </w:tc>
      </w:tr>
      <w:tr>
        <w:tc>
          <w:tcPr>
            <w:tcW w:type="dxa" w:w="1080"/>
          </w:tcPr>
          <w:p>
            <w:r>
              <w:rPr>
                <w:rFonts w:ascii="Calibri" w:hAnsi="Calibri"/>
                <w:sz w:val="22"/>
              </w:rPr>
              <w:t>Total Revenue — FY2026</w:t>
            </w:r>
          </w:p>
        </w:tc>
        <w:tc>
          <w:tcPr>
            <w:tcW w:type="dxa" w:w="1080"/>
          </w:tcPr>
          <w:p>
            <w:r>
              <w:rPr>
                <w:rFonts w:ascii="Calibri" w:hAnsi="Calibri"/>
                <w:sz w:val="22"/>
              </w:rPr>
              <w:t>$7,733M</w:t>
            </w:r>
          </w:p>
        </w:tc>
        <w:tc>
          <w:tcPr>
            <w:tcW w:type="dxa" w:w="1080"/>
          </w:tcPr>
          <w:p>
            <w:r>
              <w:rPr>
                <w:rFonts w:ascii="Calibri" w:hAnsi="Calibri"/>
                <w:sz w:val="22"/>
              </w:rPr>
              <w:t>$7,740M</w:t>
            </w:r>
          </w:p>
        </w:tc>
        <w:tc>
          <w:tcPr>
            <w:tcW w:type="dxa" w:w="1080"/>
          </w:tcPr>
          <w:p>
            <w:r>
              <w:rPr>
                <w:rFonts w:ascii="Calibri" w:hAnsi="Calibri"/>
                <w:sz w:val="22"/>
              </w:rPr>
              <w:t>+0.1%</w:t>
            </w:r>
          </w:p>
        </w:tc>
        <w:tc>
          <w:tcPr>
            <w:tcW w:type="dxa" w:w="1080"/>
          </w:tcPr>
          <w:p>
            <w:r>
              <w:rPr>
                <w:rFonts w:ascii="Calibri" w:hAnsi="Calibri"/>
                <w:sz w:val="22"/>
              </w:rPr>
              <w:t>~$7,700–$7,750M (71%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top of range</w:t>
            </w:r>
          </w:p>
        </w:tc>
      </w:tr>
      <w:tr>
        <w:tc>
          <w:tcPr>
            <w:tcW w:type="dxa" w:w="1080"/>
          </w:tcPr>
          <w:p>
            <w:r>
              <w:rPr>
                <w:rFonts w:ascii="Calibri" w:hAnsi="Calibri"/>
                <w:sz w:val="22"/>
              </w:rPr>
              <w:t>U.S. Commercial Revenue — Q2 2026</w:t>
            </w:r>
          </w:p>
        </w:tc>
        <w:tc>
          <w:tcPr>
            <w:tcW w:type="dxa" w:w="1080"/>
          </w:tcPr>
          <w:p>
            <w:r>
              <w:rPr>
                <w:rFonts w:ascii="Calibri" w:hAnsi="Calibri"/>
                <w:sz w:val="22"/>
              </w:rPr>
              <w:t>$717.7M</w:t>
            </w:r>
          </w:p>
        </w:tc>
        <w:tc>
          <w:tcPr>
            <w:tcW w:type="dxa" w:w="1080"/>
          </w:tcPr>
          <w:p>
            <w:r>
              <w:rPr>
                <w:rFonts w:ascii="Calibri" w:hAnsi="Calibri"/>
                <w:sz w:val="22"/>
              </w:rPr>
              <w:t>$717.9M</w:t>
            </w:r>
          </w:p>
        </w:tc>
        <w:tc>
          <w:tcPr>
            <w:tcW w:type="dxa" w:w="1080"/>
          </w:tcPr>
          <w:p>
            <w:r>
              <w:rPr>
                <w:rFonts w:ascii="Calibri" w:hAnsi="Calibri"/>
                <w:sz w:val="22"/>
              </w:rPr>
              <w:t>+0.0%</w:t>
            </w:r>
          </w:p>
        </w:tc>
        <w:tc>
          <w:tcPr>
            <w:tcW w:type="dxa" w:w="1080"/>
          </w:tcPr>
          <w:p>
            <w:r>
              <w:rPr>
                <w:rFonts w:ascii="Calibri" w:hAnsi="Calibri"/>
                <w:sz w:val="22"/>
              </w:rPr>
              <w:t>≥120% YoY growth (FY floor)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+135% YoY implied — above floor</w:t>
            </w:r>
          </w:p>
        </w:tc>
      </w:tr>
      <w:tr>
        <w:tc>
          <w:tcPr>
            <w:tcW w:type="dxa" w:w="1080"/>
          </w:tcPr>
          <w:p>
            <w:r>
              <w:rPr>
                <w:rFonts w:ascii="Calibri" w:hAnsi="Calibri"/>
                <w:sz w:val="22"/>
              </w:rPr>
              <w:t>U.S. Commercial Revenue — FY2026</w:t>
            </w:r>
          </w:p>
        </w:tc>
        <w:tc>
          <w:tcPr>
            <w:tcW w:type="dxa" w:w="1080"/>
          </w:tcPr>
          <w:p>
            <w:r>
              <w:rPr>
                <w:rFonts w:ascii="Calibri" w:hAnsi="Calibri"/>
                <w:sz w:val="22"/>
              </w:rPr>
              <w:t>$3,206M</w:t>
            </w:r>
          </w:p>
        </w:tc>
        <w:tc>
          <w:tcPr>
            <w:tcW w:type="dxa" w:w="1080"/>
          </w:tcPr>
          <w:p>
            <w:r>
              <w:rPr>
                <w:rFonts w:ascii="Calibri" w:hAnsi="Calibri"/>
                <w:sz w:val="22"/>
              </w:rPr>
              <w:t>$3,221M</w:t>
            </w:r>
          </w:p>
        </w:tc>
        <w:tc>
          <w:tcPr>
            <w:tcW w:type="dxa" w:w="1080"/>
          </w:tcPr>
          <w:p>
            <w:r>
              <w:rPr>
                <w:rFonts w:ascii="Calibri" w:hAnsi="Calibri"/>
                <w:sz w:val="22"/>
              </w:rPr>
              <w:t>+0.5%</w:t>
            </w:r>
          </w:p>
        </w:tc>
        <w:tc>
          <w:tcPr>
            <w:tcW w:type="dxa" w:w="1080"/>
          </w:tcPr>
          <w:p>
            <w:r>
              <w:rPr>
                <w:rFonts w:ascii="Calibri" w:hAnsi="Calibri"/>
                <w:sz w:val="22"/>
              </w:rPr>
              <w:t>≥120%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~130% YoY implied — above floor</w:t>
            </w:r>
          </w:p>
        </w:tc>
      </w:tr>
      <w:tr>
        <w:tc>
          <w:tcPr>
            <w:tcW w:type="dxa" w:w="1080"/>
          </w:tcPr>
          <w:p>
            <w:r>
              <w:rPr>
                <w:rFonts w:ascii="Calibri" w:hAnsi="Calibri"/>
                <w:sz w:val="22"/>
              </w:rPr>
              <w:t>Adj. EPS (Diluted) — Q2 2026</w:t>
            </w:r>
          </w:p>
        </w:tc>
        <w:tc>
          <w:tcPr>
            <w:tcW w:type="dxa" w:w="1080"/>
          </w:tcPr>
          <w:p>
            <w:r>
              <w:rPr>
                <w:rFonts w:ascii="Calibri" w:hAnsi="Calibri"/>
                <w:sz w:val="22"/>
              </w:rPr>
              <w:t>$0.348</w:t>
            </w:r>
          </w:p>
        </w:tc>
        <w:tc>
          <w:tcPr>
            <w:tcW w:type="dxa" w:w="1080"/>
          </w:tcPr>
          <w:p>
            <w:r>
              <w:rPr>
                <w:rFonts w:ascii="Calibri" w:hAnsi="Calibri"/>
                <w:sz w:val="22"/>
              </w:rPr>
              <w:t>$0.351</w:t>
            </w:r>
          </w:p>
        </w:tc>
        <w:tc>
          <w:tcPr>
            <w:tcW w:type="dxa" w:w="1080"/>
          </w:tcPr>
          <w:p>
            <w:r>
              <w:rPr>
                <w:rFonts w:ascii="Calibri" w:hAnsi="Calibri"/>
                <w:sz w:val="22"/>
              </w:rPr>
              <w:t>+0.9%</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(Diluted) — FY2026</w:t>
            </w:r>
          </w:p>
        </w:tc>
        <w:tc>
          <w:tcPr>
            <w:tcW w:type="dxa" w:w="1080"/>
          </w:tcPr>
          <w:p>
            <w:r>
              <w:rPr>
                <w:rFonts w:ascii="Calibri" w:hAnsi="Calibri"/>
                <w:sz w:val="22"/>
              </w:rPr>
              <w:t>$1.478</w:t>
            </w:r>
          </w:p>
        </w:tc>
        <w:tc>
          <w:tcPr>
            <w:tcW w:type="dxa" w:w="1080"/>
          </w:tcPr>
          <w:p>
            <w:r>
              <w:rPr>
                <w:rFonts w:ascii="Calibri" w:hAnsi="Calibri"/>
                <w:sz w:val="22"/>
              </w:rPr>
              <w:t>$1.492</w:t>
            </w:r>
          </w:p>
        </w:tc>
        <w:tc>
          <w:tcPr>
            <w:tcW w:type="dxa" w:w="1080"/>
          </w:tcPr>
          <w:p>
            <w:r>
              <w:rPr>
                <w:rFonts w:ascii="Calibri" w:hAnsi="Calibri"/>
                <w:sz w:val="22"/>
              </w:rPr>
              <w:t>+0.9%</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Free Cash Flow — Q2 2026</w:t>
            </w:r>
          </w:p>
        </w:tc>
        <w:tc>
          <w:tcPr>
            <w:tcW w:type="dxa" w:w="1080"/>
          </w:tcPr>
          <w:p>
            <w:r>
              <w:rPr>
                <w:rFonts w:ascii="Calibri" w:hAnsi="Calibri"/>
                <w:sz w:val="22"/>
              </w:rPr>
              <w:t>$1,023M</w:t>
            </w:r>
          </w:p>
        </w:tc>
        <w:tc>
          <w:tcPr>
            <w:tcW w:type="dxa" w:w="1080"/>
          </w:tcPr>
          <w:p>
            <w:r>
              <w:rPr>
                <w:rFonts w:ascii="Calibri" w:hAnsi="Calibri"/>
                <w:sz w:val="22"/>
              </w:rPr>
              <w:t>$1,105M</w:t>
            </w:r>
          </w:p>
        </w:tc>
        <w:tc>
          <w:tcPr>
            <w:tcW w:type="dxa" w:w="1080"/>
          </w:tcPr>
          <w:p>
            <w:r>
              <w:rPr>
                <w:rFonts w:ascii="Calibri" w:hAnsi="Calibri"/>
                <w:b/>
                <w:color w:val="30A46C"/>
                <w:sz w:val="22"/>
              </w:rPr>
              <w:t>+8.0%</w:t>
            </w:r>
          </w:p>
        </w:tc>
        <w:tc>
          <w:tcPr>
            <w:tcW w:type="dxa" w:w="1080"/>
          </w:tcPr>
          <w:p>
            <w:r>
              <w:rPr>
                <w:rFonts w:ascii="Calibri" w:hAnsi="Calibri"/>
                <w:sz w:val="22"/>
              </w:rPr>
              <w:t>FY FCF raised; margin &gt; adj. op.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guidance only)</w:t>
            </w:r>
          </w:p>
        </w:tc>
      </w:tr>
      <w:tr>
        <w:tc>
          <w:tcPr>
            <w:tcW w:type="dxa" w:w="1080"/>
          </w:tcPr>
          <w:p>
            <w:r>
              <w:rPr>
                <w:rFonts w:ascii="Calibri" w:hAnsi="Calibri"/>
                <w:sz w:val="22"/>
              </w:rPr>
              <w:t>Adj. Free Cash Flow — FY2026</w:t>
            </w:r>
          </w:p>
        </w:tc>
        <w:tc>
          <w:tcPr>
            <w:tcW w:type="dxa" w:w="1080"/>
          </w:tcPr>
          <w:p>
            <w:r>
              <w:rPr>
                <w:rFonts w:ascii="Calibri" w:hAnsi="Calibri"/>
                <w:sz w:val="22"/>
              </w:rPr>
              <w:t>$4,381M</w:t>
            </w:r>
          </w:p>
        </w:tc>
        <w:tc>
          <w:tcPr>
            <w:tcW w:type="dxa" w:w="1080"/>
          </w:tcPr>
          <w:p>
            <w:r>
              <w:rPr>
                <w:rFonts w:ascii="Calibri" w:hAnsi="Calibri"/>
                <w:sz w:val="22"/>
              </w:rPr>
              <w:t>$4,418M</w:t>
            </w:r>
          </w:p>
        </w:tc>
        <w:tc>
          <w:tcPr>
            <w:tcW w:type="dxa" w:w="1080"/>
          </w:tcPr>
          <w:p>
            <w:r>
              <w:rPr>
                <w:rFonts w:ascii="Calibri" w:hAnsi="Calibri"/>
                <w:sz w:val="22"/>
              </w:rPr>
              <w:t>+0.8%</w:t>
            </w:r>
          </w:p>
        </w:tc>
        <w:tc>
          <w:tcPr>
            <w:tcW w:type="dxa" w:w="1080"/>
          </w:tcPr>
          <w:p>
            <w:r>
              <w:rPr>
                <w:rFonts w:ascii="Calibri" w:hAnsi="Calibri"/>
                <w:sz w:val="22"/>
              </w:rPr>
              <w:t>Raised at Q1 2026 earnings</w:t>
            </w:r>
          </w:p>
        </w:tc>
        <w:tc>
          <w:tcPr>
            <w:tcW w:type="dxa" w:w="1080"/>
          </w:tcPr>
          <w:p>
            <w:r>
              <w:rPr>
                <w:rFonts w:ascii="Calibri" w:hAnsi="Calibri"/>
                <w:sz w:val="22"/>
              </w:rPr>
              <w:t>Unchanged post-Q1</w:t>
            </w:r>
          </w:p>
        </w:tc>
        <w:tc>
          <w:tcPr>
            <w:tcW w:type="dxa" w:w="1080"/>
          </w:tcPr>
          <w:p>
            <w:r>
              <w:rPr>
                <w:rFonts w:ascii="Calibri" w:hAnsi="Calibri"/>
                <w:sz w:val="22"/>
              </w:rPr>
              <w:t>—</w:t>
            </w:r>
          </w:p>
        </w:tc>
        <w:tc>
          <w:tcPr>
            <w:tcW w:type="dxa" w:w="1080"/>
          </w:tcPr>
          <w:p>
            <w:r>
              <w:rPr>
                <w:rFonts w:ascii="Calibri" w:hAnsi="Calibri"/>
                <w:sz w:val="22"/>
              </w:rPr>
              <w:t>N/A (no specific FY FCF range disclosed)</w:t>
            </w:r>
          </w:p>
        </w:tc>
      </w:tr>
    </w:tbl>
    <w:p>
      <w:r>
        <w:rPr>
          <w:rFonts w:ascii="Calibri" w:hAnsi="Calibri"/>
          <w:i/>
          <w:color w:val="525866"/>
          <w:sz w:val="22"/>
        </w:rPr>
        <w:t>Source: Visible Alpha Consensus and Actuals Data (as-of date: May 9, 2026 for baseline; current as of August 2, 2026). Guidance from Q1 2026 Earnings Call (May 4, 2026).</w:t>
      </w:r>
    </w:p>
    <w:p>
      <w:r>
        <w:rPr>
          <w:rFonts w:ascii="Calibri" w:hAnsi="Calibri"/>
          <w:color w:val="525866"/>
          <w:sz w:val="22"/>
        </w:rPr>
        <w:t>Estimates have been remarkably stable since the Q1 print — the Street locked in its view quickly and has not materially revised since. The Q2 FCF estimate has moved up the most (+8%), suggesting analysts expect continued margin outperformance. The key risk is that consensus for U.S. Commercial already implies ~135% YoY growth, well above the ≥120% guidance floor, leaving limited room for a positive surprise on that metric alone.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PLTR has underperformed sharply since Q1 earnings — down ~16% vs. IGV +7% and SPY +4% — driven by </w:t>
      </w:r>
      <w:r>
        <w:rPr>
          <w:rFonts w:ascii="Calibri" w:hAnsi="Calibri"/>
          <w:b/>
          <w:color w:val="525866"/>
          <w:sz w:val="22"/>
        </w:rPr>
        <w:t>multiple compression</w:t>
      </w:r>
      <w:r>
        <w:rPr>
          <w:rFonts w:ascii="Calibri" w:hAnsi="Calibri"/>
          <w:color w:val="525866"/>
          <w:sz w:val="22"/>
        </w:rPr>
        <w:t xml:space="preserve"> rather than estimate cuts (estimates are essentially flat). The stock’s muted reaction to a historically strong Q1 beat-and-raise, followed by continued selling, suggests the market is recalibrating the premium it is willing to pay for hypergrowth at 80–100x forward P/S.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PLTR vs. IGV (Software ETF) vs. S&amp;P 500 — Indexed to 100 at Q1 2026 Earnings (May 4, 2026). Source: Stock Price Data.</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PLTR price at Q1 earnings (May 4, 2026)</w:t>
            </w:r>
          </w:p>
        </w:tc>
        <w:tc>
          <w:tcPr>
            <w:tcW w:type="dxa" w:w="4320"/>
          </w:tcPr>
          <w:p>
            <w:r>
              <w:rPr>
                <w:rFonts w:ascii="Calibri" w:hAnsi="Calibri"/>
                <w:sz w:val="22"/>
              </w:rPr>
              <w:t>$146.03</w:t>
            </w:r>
          </w:p>
        </w:tc>
      </w:tr>
      <w:tr>
        <w:tc>
          <w:tcPr>
            <w:tcW w:type="dxa" w:w="4320"/>
          </w:tcPr>
          <w:p>
            <w:r>
              <w:rPr>
                <w:rFonts w:ascii="Calibri" w:hAnsi="Calibri"/>
                <w:sz w:val="22"/>
              </w:rPr>
              <w:t>PLTR price as of Aug 3, 2026</w:t>
            </w:r>
          </w:p>
        </w:tc>
        <w:tc>
          <w:tcPr>
            <w:tcW w:type="dxa" w:w="4320"/>
          </w:tcPr>
          <w:p>
            <w:r>
              <w:rPr>
                <w:rFonts w:ascii="Calibri" w:hAnsi="Calibri"/>
                <w:sz w:val="22"/>
              </w:rPr>
              <w:t>$123.06</w:t>
            </w:r>
          </w:p>
        </w:tc>
      </w:tr>
      <w:tr>
        <w:tc>
          <w:tcPr>
            <w:tcW w:type="dxa" w:w="4320"/>
          </w:tcPr>
          <w:p>
            <w:r>
              <w:rPr>
                <w:rFonts w:ascii="Calibri" w:hAnsi="Calibri"/>
                <w:sz w:val="22"/>
              </w:rPr>
              <w:t>PLTR return since earnings</w:t>
            </w:r>
          </w:p>
        </w:tc>
        <w:tc>
          <w:tcPr>
            <w:tcW w:type="dxa" w:w="4320"/>
          </w:tcPr>
          <w:p>
            <w:r>
              <w:rPr>
                <w:rFonts w:ascii="Calibri" w:hAnsi="Calibri"/>
                <w:b/>
                <w:color w:val="E5484D"/>
                <w:sz w:val="22"/>
              </w:rPr>
              <w:t>-15.7%</w:t>
            </w:r>
          </w:p>
        </w:tc>
      </w:tr>
      <w:tr>
        <w:tc>
          <w:tcPr>
            <w:tcW w:type="dxa" w:w="4320"/>
          </w:tcPr>
          <w:p>
            <w:r>
              <w:rPr>
                <w:rFonts w:ascii="Calibri" w:hAnsi="Calibri"/>
                <w:sz w:val="22"/>
              </w:rPr>
              <w:t>IGV return since earnings</w:t>
            </w:r>
          </w:p>
        </w:tc>
        <w:tc>
          <w:tcPr>
            <w:tcW w:type="dxa" w:w="4320"/>
          </w:tcPr>
          <w:p>
            <w:r>
              <w:rPr>
                <w:rFonts w:ascii="Calibri" w:hAnsi="Calibri"/>
                <w:b/>
                <w:color w:val="30A46C"/>
                <w:sz w:val="22"/>
              </w:rPr>
              <w:t>+6.9%</w:t>
            </w:r>
          </w:p>
        </w:tc>
      </w:tr>
      <w:tr>
        <w:tc>
          <w:tcPr>
            <w:tcW w:type="dxa" w:w="4320"/>
          </w:tcPr>
          <w:p>
            <w:r>
              <w:rPr>
                <w:rFonts w:ascii="Calibri" w:hAnsi="Calibri"/>
                <w:sz w:val="22"/>
              </w:rPr>
              <w:t>S&amp;P 500 (SPY) return since earnings</w:t>
            </w:r>
          </w:p>
        </w:tc>
        <w:tc>
          <w:tcPr>
            <w:tcW w:type="dxa" w:w="4320"/>
          </w:tcPr>
          <w:p>
            <w:r>
              <w:rPr>
                <w:rFonts w:ascii="Calibri" w:hAnsi="Calibri"/>
                <w:b/>
                <w:color w:val="30A46C"/>
                <w:sz w:val="22"/>
              </w:rPr>
              <w:t>+4.0%</w:t>
            </w:r>
          </w:p>
        </w:tc>
      </w:tr>
      <w:tr>
        <w:tc>
          <w:tcPr>
            <w:tcW w:type="dxa" w:w="4320"/>
          </w:tcPr>
          <w:p>
            <w:r>
              <w:rPr>
                <w:rFonts w:ascii="Calibri" w:hAnsi="Calibri"/>
                <w:sz w:val="22"/>
              </w:rPr>
              <w:t>PLTR relative to IGV</w:t>
            </w:r>
          </w:p>
        </w:tc>
        <w:tc>
          <w:tcPr>
            <w:tcW w:type="dxa" w:w="4320"/>
          </w:tcPr>
          <w:p>
            <w:r>
              <w:rPr>
                <w:rFonts w:ascii="Calibri" w:hAnsi="Calibri"/>
                <w:b/>
                <w:color w:val="E5484D"/>
                <w:sz w:val="22"/>
              </w:rPr>
              <w:t>-22.6 ppts underperformance</w:t>
            </w:r>
          </w:p>
        </w:tc>
      </w:tr>
      <w:tr>
        <w:tc>
          <w:tcPr>
            <w:tcW w:type="dxa" w:w="4320"/>
          </w:tcPr>
          <w:p>
            <w:r>
              <w:rPr>
                <w:rFonts w:ascii="Calibri" w:hAnsi="Calibri"/>
                <w:sz w:val="22"/>
              </w:rPr>
              <w:t>Key event: AIPCon 10</w:t>
            </w:r>
          </w:p>
        </w:tc>
        <w:tc>
          <w:tcPr>
            <w:tcW w:type="dxa" w:w="4320"/>
          </w:tcPr>
          <w:p>
            <w:r>
              <w:rPr>
                <w:rFonts w:ascii="Calibri" w:hAnsi="Calibri"/>
                <w:sz w:val="22"/>
              </w:rPr>
              <w:t>June 4, 2026 — stock peaked near $160 shortly before, then sold off sharply</w:t>
            </w:r>
          </w:p>
        </w:tc>
      </w:tr>
    </w:tbl>
    <w:p>
      <w:r>
        <w:rPr>
          <w:rFonts w:ascii="Calibri" w:hAnsi="Calibri"/>
          <w:i/>
          <w:color w:val="525866"/>
          <w:sz w:val="22"/>
        </w:rPr>
        <w:t>Source: Stock Price Data (Yahoo Finance). PLTR peaked near $160 in late May / early June 2026 around AIPCon 10, then sold off sharply through June and July, reaching lows near $107 in late June before partially recovering to the $123 range. The selloff was broad-based across software (IGV also pulled back) but PLTR’s decline was far more severe, consistent with high-multiple de-rating rather than fundamental deterioration.</w:t>
      </w:r>
    </w:p>
    <w:p>
      <w:r>
        <w:br w:type="page"/>
      </w:r>
    </w:p>
    <w:p>
      <w:pPr>
        <w:pStyle w:val="Heading2"/>
      </w:pPr>
      <w:r>
        <w:rPr>
          <w:rFonts w:ascii="Calibri" w:hAnsi="Calibri"/>
          <w:b/>
          <w:color w:val="3B4259"/>
          <w:sz w:val="28"/>
        </w:rPr>
        <w:t>6. Peer Commentaries — Read-Through for PLTR Q2 2026</w:t>
      </w:r>
    </w:p>
    <w:p>
      <w:r>
        <w:rPr>
          <w:rFonts w:ascii="Calibri" w:hAnsi="Calibri"/>
          <w:b/>
          <w:color w:val="525866"/>
          <w:sz w:val="22"/>
        </w:rPr>
        <w:t xml:space="preserve">Key Takeaway: </w:t>
      </w:r>
      <w:r>
        <w:rPr>
          <w:rFonts w:ascii="Calibri" w:hAnsi="Calibri"/>
          <w:color w:val="525866"/>
          <w:sz w:val="22"/>
        </w:rPr>
        <w:t>Peer commentary from the last 60 days is uniformly bullish on enterprise AI demand — every major software and security company reporting or presenting since May 2026 has described accelerating AI adoption, expanding deal sizes, and a shift from pilots to production. This is the strongest read-through environment PLTR has seen, directly validating its core thesis.</w:t>
      </w:r>
    </w:p>
    <w:p>
      <w:r>
        <w:rPr>
          <w:rFonts w:ascii="Calibri" w:hAnsi="Calibri"/>
          <w:i/>
          <w:color w:val="525866"/>
          <w:sz w:val="22"/>
        </w:rPr>
        <w:t>Note: Only commentary from the current reporting period (Q2 2026, i.e., post-May 4, 2026) is included below. Prior-quarter earnings results are excluded; only forward-looking commentary and current-quarter observations are cited.</w:t>
      </w:r>
    </w:p>
    <w:p>
      <w:pPr>
        <w:pStyle w:val="Heading3"/>
      </w:pPr>
      <w:r>
        <w:rPr>
          <w:rFonts w:ascii="Calibri" w:hAnsi="Calibri"/>
          <w:b/>
          <w:color w:val="3B4259"/>
          <w:sz w:val="24"/>
        </w:rPr>
        <w:t>ServiceNow (NOW) — Q2 2026 Earnings Call (July 22,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 xml:space="preserve">Enterprise AI inflection has arrived: </w:t>
      </w:r>
      <w:r>
        <w:rPr>
          <w:rFonts w:ascii="Calibri" w:hAnsi="Calibri"/>
          <w:color w:val="525866"/>
          <w:sz w:val="22"/>
        </w:rPr>
        <w:t xml:space="preserve">"When will customer deployment of AI mark an inflection point for ServiceNow growth? Here’s the answer. It already has." Customers with Agentic AI in production grew </w:t>
      </w:r>
      <w:r>
        <w:rPr>
          <w:rFonts w:ascii="Calibri" w:hAnsi="Calibri"/>
          <w:b/>
          <w:color w:val="525866"/>
          <w:sz w:val="22"/>
        </w:rPr>
        <w:t>9x over the last nine months</w:t>
      </w:r>
      <w:r>
        <w:rPr>
          <w:rFonts w:ascii="Calibri" w:hAnsi="Calibri"/>
          <w:color w:val="525866"/>
          <w:sz w:val="22"/>
        </w:rPr>
        <w:t>. This directly validates PLTR’s thesis that AIP is moving from pilot to production at scale.</w:t>
      </w:r>
    </w:p>
    <w:p>
      <w:pPr>
        <w:pStyle w:val="ListBullet"/>
        <w:ind w:left="360" w:hanging="360"/>
      </w:pPr>
      <w:r>
        <w:rPr>
          <w:rFonts w:ascii="Calibri" w:hAnsi="Calibri"/>
          <w:b/>
          <w:color w:val="525866"/>
          <w:sz w:val="22"/>
        </w:rPr>
        <w:t xml:space="preserve">Government demand at record levels: </w:t>
      </w:r>
      <w:r>
        <w:rPr>
          <w:rFonts w:ascii="Calibri" w:hAnsi="Calibri"/>
          <w:color w:val="525866"/>
          <w:sz w:val="22"/>
        </w:rPr>
        <w:t xml:space="preserve">"The government business. It’s never been stronger." The Department of Air Force expanded its ServiceNow AI platform deployment. U.S. federal demand was so strong it pulled forward on-prem revenue from Q3 into Q2. </w:t>
      </w:r>
      <w:r>
        <w:rPr>
          <w:rFonts w:ascii="Calibri" w:hAnsi="Calibri"/>
          <w:b/>
          <w:color w:val="525866"/>
          <w:sz w:val="22"/>
        </w:rPr>
        <w:t>Implication: U.S. Government AI budgets are clearly open and accelerating — a direct positive read-through for PLTR’s government segment.</w:t>
      </w:r>
    </w:p>
    <w:p>
      <w:pPr>
        <w:pStyle w:val="ListBullet"/>
        <w:ind w:left="360" w:hanging="360"/>
      </w:pPr>
      <w:r>
        <w:rPr>
          <w:rFonts w:ascii="Calibri" w:hAnsi="Calibri"/>
          <w:b/>
          <w:color w:val="525866"/>
          <w:sz w:val="22"/>
        </w:rPr>
        <w:t xml:space="preserve">AI ACV surpassed $1B, on track to beat $1.5B target by year-end 2026: </w:t>
      </w:r>
      <w:r>
        <w:rPr>
          <w:rFonts w:ascii="Calibri" w:hAnsi="Calibri"/>
          <w:color w:val="525866"/>
          <w:sz w:val="22"/>
        </w:rPr>
        <w:t>Deals including 5+ ServiceNow AI products grew 5.5x YoY, driving a tripling of million-dollar-plus deals. Agentic AI buyer deal volume grew 45%+ YoY. This signals enterprise willingness to commit large budgets to AI platforms.</w:t>
      </w:r>
    </w:p>
    <w:p>
      <w:pPr>
        <w:pStyle w:val="ListBullet"/>
        <w:ind w:left="360" w:hanging="360"/>
      </w:pPr>
      <w:r>
        <w:rPr>
          <w:rFonts w:ascii="Calibri" w:hAnsi="Calibri"/>
          <w:b/>
          <w:color w:val="525866"/>
          <w:sz w:val="22"/>
        </w:rPr>
        <w:t xml:space="preserve">Governance layer is the critical bottleneck: </w:t>
      </w:r>
      <w:r>
        <w:rPr>
          <w:rFonts w:ascii="Calibri" w:hAnsi="Calibri"/>
          <w:color w:val="525866"/>
          <w:sz w:val="22"/>
        </w:rPr>
        <w:t xml:space="preserve">"Our customers want every AI in the enterprise to be visible, governed, and secured in one command center." A leading global food &amp; beverage company implemented ServiceNow’s AI control tower after finding agents proliferating across 5 platforms without unified governance. </w:t>
      </w:r>
      <w:r>
        <w:rPr>
          <w:rFonts w:ascii="Calibri" w:hAnsi="Calibri"/>
          <w:b/>
          <w:color w:val="525866"/>
          <w:sz w:val="22"/>
        </w:rPr>
        <w:t>This is PLTR’s exact value proposition — the ontology and governance layer for enterprise AI.</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Subscription revenues raised by $15M at midpoint to $15.770B (21% YoY CC growth). Q3 subscription revenue guided to $3.975–$3.980B.</w:t>
      </w:r>
    </w:p>
    <w:p>
      <w:pPr>
        <w:pStyle w:val="Heading3"/>
      </w:pPr>
      <w:r>
        <w:rPr>
          <w:rFonts w:ascii="Calibri" w:hAnsi="Calibri"/>
          <w:b/>
          <w:color w:val="3B4259"/>
          <w:sz w:val="24"/>
        </w:rPr>
        <w:t>Microsoft (MSFT) — Q4 FY2026 Earnings Call (July 29,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 xml:space="preserve">Azure demand exceeds supply in an “extremely extreme moment”: </w:t>
      </w:r>
      <w:r>
        <w:rPr>
          <w:rFonts w:ascii="Calibri" w:hAnsi="Calibri"/>
          <w:color w:val="525866"/>
          <w:sz w:val="22"/>
        </w:rPr>
        <w:t xml:space="preserve">"Customer demand continues to exceed available capacity." Azure guided to ~45% CC growth next quarter. Annual revenue surpassed $331B (+18%), Microsoft Cloud surpassed $214B (+27%), Azure surpassed $100B (+41%). </w:t>
      </w:r>
      <w:r>
        <w:rPr>
          <w:rFonts w:ascii="Calibri" w:hAnsi="Calibri"/>
          <w:b/>
          <w:color w:val="525866"/>
          <w:sz w:val="22"/>
        </w:rPr>
        <w:t>Implication: The AI infrastructure buildout is accelerating, not decelerating — a rising tide for all AI software platforms.</w:t>
      </w:r>
    </w:p>
    <w:p>
      <w:pPr>
        <w:pStyle w:val="ListBullet"/>
        <w:ind w:left="360" w:hanging="360"/>
      </w:pPr>
      <w:r>
        <w:rPr>
          <w:rFonts w:ascii="Calibri" w:hAnsi="Calibri"/>
          <w:b/>
          <w:color w:val="525866"/>
          <w:sz w:val="22"/>
        </w:rPr>
        <w:t xml:space="preserve">Agent-first enterprise is real and scaling: </w:t>
      </w:r>
      <w:r>
        <w:rPr>
          <w:rFonts w:ascii="Calibri" w:hAnsi="Calibri"/>
          <w:color w:val="525866"/>
          <w:sz w:val="22"/>
        </w:rPr>
        <w:t xml:space="preserve">Microsoft 365 Copilot surpassed 30 million paid seats with net seat adds more than doubling QoQ. Enterprise customers deploying Copilot to majority of information workers grew 75% QoQ. GitHub Copilot hit 50 million users with revenue accelerating 60%+ QoQ. </w:t>
      </w:r>
      <w:r>
        <w:rPr>
          <w:rFonts w:ascii="Calibri" w:hAnsi="Calibri"/>
          <w:b/>
          <w:color w:val="525866"/>
          <w:sz w:val="22"/>
        </w:rPr>
        <w:t>This validates the agentic AI adoption wave PLTR is riding.</w:t>
      </w:r>
    </w:p>
    <w:p>
      <w:pPr>
        <w:pStyle w:val="ListBullet"/>
        <w:ind w:left="360" w:hanging="360"/>
      </w:pPr>
      <w:r>
        <w:rPr>
          <w:rFonts w:ascii="Calibri" w:hAnsi="Calibri"/>
          <w:b/>
          <w:color w:val="525866"/>
          <w:sz w:val="22"/>
        </w:rPr>
        <w:t xml:space="preserve">Outcome-driven engineering model validates PLTR’s approach: </w:t>
      </w:r>
      <w:r>
        <w:rPr>
          <w:rFonts w:ascii="Calibri" w:hAnsi="Calibri"/>
          <w:color w:val="525866"/>
          <w:sz w:val="22"/>
        </w:rPr>
        <w:t>Microsoft launched Frontier Corps — 6,000 industry and engineering experts embedded with customers to co-design AI systems at scale. This mirrors PLTR’s long-standing “forward deployed engineer” model, suggesting the market is converging on PLTR’s methodology.</w:t>
      </w:r>
    </w:p>
    <w:p>
      <w:pPr>
        <w:pStyle w:val="ListBullet"/>
        <w:ind w:left="360" w:hanging="360"/>
      </w:pPr>
      <w:r>
        <w:rPr>
          <w:rFonts w:ascii="Calibri" w:hAnsi="Calibri"/>
          <w:b/>
          <w:color w:val="525866"/>
          <w:sz w:val="22"/>
        </w:rPr>
        <w:t xml:space="preserve">AI sovereignty and secure deployment are top priorities: </w:t>
      </w:r>
      <w:r>
        <w:rPr>
          <w:rFonts w:ascii="Calibri" w:hAnsi="Calibri"/>
          <w:color w:val="525866"/>
          <w:sz w:val="22"/>
        </w:rPr>
        <w:t>"AI sovereignty is increasingly top of mind for our customers." Partnership with Mistral for sovereign cloud. This reinforces PLTR’s differentiation in secure, classified, and sovereign AI deployments.</w:t>
      </w:r>
    </w:p>
    <w:p>
      <w:pPr>
        <w:pStyle w:val="ListBullet"/>
        <w:ind w:left="360" w:hanging="360"/>
      </w:pPr>
      <w:r>
        <w:rPr>
          <w:rFonts w:ascii="Calibri" w:hAnsi="Calibri"/>
          <w:b/>
          <w:color w:val="525866"/>
          <w:sz w:val="22"/>
        </w:rPr>
        <w:t xml:space="preserve">FY2027 CapEx to grow YoY; demand signals strong across portfolio: </w:t>
      </w:r>
      <w:r>
        <w:rPr>
          <w:rFonts w:ascii="Calibri" w:hAnsi="Calibri"/>
          <w:color w:val="525866"/>
          <w:sz w:val="22"/>
        </w:rPr>
        <w:t>"We expect FY27 capital expenditures will grow year over year given demand signals across our portfolio." Calendar 2026 CapEx expectation ~$175B.</w:t>
      </w:r>
    </w:p>
    <w:p>
      <w:pPr>
        <w:pStyle w:val="Heading3"/>
      </w:pPr>
      <w:r>
        <w:rPr>
          <w:rFonts w:ascii="Calibri" w:hAnsi="Calibri"/>
          <w:b/>
          <w:color w:val="3B4259"/>
          <w:sz w:val="24"/>
        </w:rPr>
        <w:t>CrowdStrike (CRWD) — Q1 FY2027 Earnings Call (June 3, 2026)</w:t>
      </w:r>
    </w:p>
    <w:p>
      <w:r>
        <w:rPr>
          <w:rFonts w:ascii="Calibri" w:hAnsi="Calibri"/>
          <w:b/>
          <w:color w:val="525866"/>
          <w:sz w:val="22"/>
        </w:rPr>
        <w:t xml:space="preserve">Read-Through Signal: </w:t>
      </w:r>
      <w:r>
        <w:rPr>
          <w:rFonts w:ascii="Calibri" w:hAnsi="Calibri"/>
          <w:b/>
          <w:color w:val="30A46C"/>
          <w:sz w:val="22"/>
        </w:rPr>
        <w:t>STRONGLY POSITIVE (especially for U.S. Government)</w:t>
      </w:r>
    </w:p>
    <w:p>
      <w:pPr>
        <w:pStyle w:val="ListBullet"/>
        <w:ind w:left="360" w:hanging="360"/>
      </w:pPr>
      <w:r>
        <w:rPr>
          <w:rFonts w:ascii="Calibri" w:hAnsi="Calibri"/>
          <w:b/>
          <w:color w:val="525866"/>
          <w:sz w:val="22"/>
        </w:rPr>
        <w:t xml:space="preserve">AI adoption is an “existential imperative”: </w:t>
      </w:r>
      <w:r>
        <w:rPr>
          <w:rFonts w:ascii="Calibri" w:hAnsi="Calibri"/>
          <w:color w:val="525866"/>
          <w:sz w:val="22"/>
        </w:rPr>
        <w:t>"Today, AI adoption is not a nice to have. It’s an existential imperative across every geography and vertical." The more AI an organization adopts, the more it needs platforms like PLTR to govern and operationalize it.</w:t>
      </w:r>
    </w:p>
    <w:p>
      <w:pPr>
        <w:pStyle w:val="ListBullet"/>
        <w:ind w:left="360" w:hanging="360"/>
      </w:pPr>
      <w:r>
        <w:rPr>
          <w:rFonts w:ascii="Calibri" w:hAnsi="Calibri"/>
          <w:b/>
          <w:color w:val="525866"/>
          <w:sz w:val="22"/>
        </w:rPr>
        <w:t xml:space="preserve">The Mythos inflection moment created a demand surge: </w:t>
      </w:r>
      <w:r>
        <w:rPr>
          <w:rFonts w:ascii="Calibri" w:hAnsi="Calibri"/>
          <w:color w:val="525866"/>
          <w:sz w:val="22"/>
        </w:rPr>
        <w:t xml:space="preserve">In April 2026, frontier AI models demonstrated autonomous attack capabilities, triggering a wave of enterprise and government urgency around AI security and governance. CrowdStrike raised full-year net new ARR growth expectations by 500+ bps. </w:t>
      </w:r>
      <w:r>
        <w:rPr>
          <w:rFonts w:ascii="Calibri" w:hAnsi="Calibri"/>
          <w:b/>
          <w:color w:val="525866"/>
          <w:sz w:val="22"/>
        </w:rPr>
        <w:t>Implication: The same urgency driving cybersecurity demand is driving demand for AI governance platforms — PLTR’s Apollo and AIP are directly in this path.</w:t>
      </w:r>
    </w:p>
    <w:p>
      <w:pPr>
        <w:pStyle w:val="ListBullet"/>
        <w:ind w:left="360" w:hanging="360"/>
      </w:pPr>
      <w:r>
        <w:rPr>
          <w:rFonts w:ascii="Calibri" w:hAnsi="Calibri"/>
          <w:b/>
          <w:color w:val="525866"/>
          <w:sz w:val="22"/>
        </w:rPr>
        <w:t xml:space="preserve">U.S. Government executive order on AI security: </w:t>
      </w:r>
      <w:r>
        <w:rPr>
          <w:rFonts w:ascii="Calibri" w:hAnsi="Calibri"/>
          <w:color w:val="525866"/>
          <w:sz w:val="22"/>
        </w:rPr>
        <w:t xml:space="preserve">"The U.S. government just announced an executive order to upgrade systems for advanced AI." CrowdStrike called this a tailwind for federal cybersecurity spending. </w:t>
      </w:r>
      <w:r>
        <w:rPr>
          <w:rFonts w:ascii="Calibri" w:hAnsi="Calibri"/>
          <w:b/>
          <w:color w:val="525866"/>
          <w:sz w:val="22"/>
        </w:rPr>
        <w:t>This is a direct positive read-through for PLTR’s U.S. Government segment.</w:t>
      </w:r>
    </w:p>
    <w:p>
      <w:pPr>
        <w:pStyle w:val="ListBullet"/>
        <w:ind w:left="360" w:hanging="360"/>
      </w:pPr>
      <w:r>
        <w:rPr>
          <w:rFonts w:ascii="Calibri" w:hAnsi="Calibri"/>
          <w:b/>
          <w:color w:val="525866"/>
          <w:sz w:val="22"/>
        </w:rPr>
        <w:t xml:space="preserve">Record Q2 pipeline: </w:t>
      </w:r>
      <w:r>
        <w:rPr>
          <w:rFonts w:ascii="Calibri" w:hAnsi="Calibri"/>
          <w:color w:val="525866"/>
          <w:sz w:val="22"/>
        </w:rPr>
        <w:t>"Our record Q2 pipeline and strong momentum across competitive displacements give us conviction in the durability of CrowdStrike’s growth trajectory." AIDR (AI Detection &amp; Response) ARR grew 250%+ sequentially with Q2 pipeline already exceeding $50M.</w:t>
      </w:r>
    </w:p>
    <w:p>
      <w:pPr>
        <w:pStyle w:val="ListBullet"/>
        <w:ind w:left="360" w:hanging="360"/>
      </w:pPr>
      <w:r>
        <w:rPr>
          <w:rFonts w:ascii="Calibri" w:hAnsi="Calibri"/>
          <w:b/>
          <w:color w:val="525866"/>
          <w:sz w:val="22"/>
        </w:rPr>
        <w:t xml:space="preserve">8-figure new logo win in a major U.S. government agency: </w:t>
      </w:r>
      <w:r>
        <w:rPr>
          <w:rFonts w:ascii="Calibri" w:hAnsi="Calibri"/>
          <w:color w:val="525866"/>
          <w:sz w:val="22"/>
        </w:rPr>
        <w:t>Replaced legacy security products across 200,000+ hosts. Confirms large-scale government AI/security spending is active and accelerating.</w:t>
      </w:r>
    </w:p>
    <w:p>
      <w:pPr>
        <w:pStyle w:val="Heading3"/>
      </w:pPr>
      <w:r>
        <w:rPr>
          <w:rFonts w:ascii="Calibri" w:hAnsi="Calibri"/>
          <w:b/>
          <w:color w:val="3B4259"/>
          <w:sz w:val="24"/>
        </w:rPr>
        <w:t>Palo Alto Networks (PANW) — Q3 FY2026 Earnings Call (June 2,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AI is fundamentally redefining the enterprise tech stack: </w:t>
      </w:r>
      <w:r>
        <w:rPr>
          <w:rFonts w:ascii="Calibri" w:hAnsi="Calibri"/>
          <w:color w:val="525866"/>
          <w:sz w:val="22"/>
        </w:rPr>
        <w:t>"These results are materializing as AI fundamentally redefines the enterprise tech stack, elevating cybersecurity to a mission-critical priority for every organization." Prisma AIRS (AI security) became the fastest-scaling product in PANW history, reaching 300+ customers in Q3 (tripling Q2 count).</w:t>
      </w:r>
    </w:p>
    <w:p>
      <w:pPr>
        <w:pStyle w:val="ListBullet"/>
        <w:ind w:left="360" w:hanging="360"/>
      </w:pPr>
      <w:r>
        <w:rPr>
          <w:rFonts w:ascii="Calibri" w:hAnsi="Calibri"/>
          <w:b/>
          <w:color w:val="525866"/>
          <w:sz w:val="22"/>
        </w:rPr>
        <w:t xml:space="preserve">Agentic AI creates structural demand: </w:t>
      </w:r>
      <w:r>
        <w:rPr>
          <w:rFonts w:ascii="Calibri" w:hAnsi="Calibri"/>
          <w:color w:val="525866"/>
          <w:sz w:val="22"/>
        </w:rPr>
        <w:t xml:space="preserve">"The shift towards agentic AI represents a fundamental change" — creating a surge in machine-to-machine traffic that must be secured at runtime. Every agent needs an identity, every identity needs governance. </w:t>
      </w:r>
      <w:r>
        <w:rPr>
          <w:rFonts w:ascii="Calibri" w:hAnsi="Calibri"/>
          <w:b/>
          <w:color w:val="525866"/>
          <w:sz w:val="22"/>
        </w:rPr>
        <w:t>This is PLTR’s Agent Operating System thesis validated by a peer.</w:t>
      </w:r>
    </w:p>
    <w:p>
      <w:pPr>
        <w:pStyle w:val="ListBullet"/>
        <w:ind w:left="360" w:hanging="360"/>
      </w:pPr>
      <w:r>
        <w:rPr>
          <w:rFonts w:ascii="Calibri" w:hAnsi="Calibri"/>
          <w:b/>
          <w:color w:val="525866"/>
          <w:sz w:val="22"/>
        </w:rPr>
        <w:t xml:space="preserve">Sovereign infrastructure providers are a new buyer class: </w:t>
      </w:r>
      <w:r>
        <w:rPr>
          <w:rFonts w:ascii="Calibri" w:hAnsi="Calibri"/>
          <w:color w:val="525866"/>
          <w:sz w:val="22"/>
        </w:rPr>
        <w:t>"We’re seeing early adoption from a new class of buyers, including sovereign infrastructure providers and AI labs." This new buyer class is also a PLTR target market.</w:t>
      </w:r>
    </w:p>
    <w:p>
      <w:pPr>
        <w:pStyle w:val="ListBullet"/>
        <w:ind w:left="360" w:hanging="360"/>
      </w:pPr>
      <w:r>
        <w:rPr>
          <w:rFonts w:ascii="Calibri" w:hAnsi="Calibri"/>
          <w:b/>
          <w:color w:val="525866"/>
          <w:sz w:val="22"/>
        </w:rPr>
        <w:t xml:space="preserve">Q4 FY2026 guidance: </w:t>
      </w:r>
      <w:r>
        <w:rPr>
          <w:rFonts w:ascii="Calibri" w:hAnsi="Calibri"/>
          <w:color w:val="525866"/>
          <w:sz w:val="22"/>
        </w:rPr>
        <w:t>NGS ARR guided to $8.9–$8.95B (+59–60% YoY); revenue $3.345–$3.355B (+32% YoY). Demand not expected to weaken in Q4, Q1, or Q2.</w:t>
      </w:r>
    </w:p>
    <w:p>
      <w:pPr>
        <w:pStyle w:val="Heading3"/>
      </w:pPr>
      <w:r>
        <w:rPr>
          <w:rFonts w:ascii="Calibri" w:hAnsi="Calibri"/>
          <w:b/>
          <w:color w:val="3B4259"/>
          <w:sz w:val="24"/>
        </w:rPr>
        <w:t>Oracle (ORCL) — Q4 FY2026 Earnings Call (June 10, 2026)</w:t>
      </w:r>
    </w:p>
    <w:p>
      <w:r>
        <w:rPr>
          <w:rFonts w:ascii="Calibri" w:hAnsi="Calibri"/>
          <w:b/>
          <w:color w:val="525866"/>
          <w:sz w:val="22"/>
        </w:rPr>
        <w:t xml:space="preserve">Read-Through Signal: </w:t>
      </w:r>
      <w:r>
        <w:rPr>
          <w:rFonts w:ascii="Calibri" w:hAnsi="Calibri"/>
          <w:b/>
          <w:color w:val="30A46C"/>
          <w:sz w:val="22"/>
        </w:rPr>
        <w:t>POSITIVE (especially for Government)</w:t>
      </w:r>
    </w:p>
    <w:p>
      <w:pPr>
        <w:pStyle w:val="ListBullet"/>
        <w:ind w:left="360" w:hanging="360"/>
      </w:pPr>
      <w:r>
        <w:rPr>
          <w:rFonts w:ascii="Calibri" w:hAnsi="Calibri"/>
          <w:b/>
          <w:color w:val="525866"/>
          <w:sz w:val="22"/>
        </w:rPr>
        <w:t xml:space="preserve">Customers have moved past the experimental stage: </w:t>
      </w:r>
      <w:r>
        <w:rPr>
          <w:rFonts w:ascii="Calibri" w:hAnsi="Calibri"/>
          <w:color w:val="525866"/>
          <w:sz w:val="22"/>
        </w:rPr>
        <w:t xml:space="preserve">"Our customers have moved past the experimental stage of AI, they are ready to implement enterprise grade, complete genetic solutions to help run their businesses." Oracle delivered 1,000+ AI agents across its application suites. </w:t>
      </w:r>
      <w:r>
        <w:rPr>
          <w:rFonts w:ascii="Calibri" w:hAnsi="Calibri"/>
          <w:b/>
          <w:color w:val="525866"/>
          <w:sz w:val="22"/>
        </w:rPr>
        <w:t>This validates PLTR’s thesis that AIP is now a production-grade enterprise platform, not a pilot.</w:t>
      </w:r>
    </w:p>
    <w:p>
      <w:pPr>
        <w:pStyle w:val="ListBullet"/>
        <w:ind w:left="360" w:hanging="360"/>
      </w:pPr>
      <w:r>
        <w:rPr>
          <w:rFonts w:ascii="Calibri" w:hAnsi="Calibri"/>
          <w:b/>
          <w:color w:val="525866"/>
          <w:sz w:val="22"/>
        </w:rPr>
        <w:t xml:space="preserve">Inferencing against decades of proprietary data is where AI compounds: </w:t>
      </w:r>
      <w:r>
        <w:rPr>
          <w:rFonts w:ascii="Calibri" w:hAnsi="Calibri"/>
          <w:color w:val="525866"/>
          <w:sz w:val="22"/>
        </w:rPr>
        <w:t>"For many enterprises, inferencing against decades of rich operations data is where the benefits of AI compound exponentially." This is PLTR’s core value proposition — connecting AI to operational data via the ontology.</w:t>
      </w:r>
    </w:p>
    <w:p>
      <w:pPr>
        <w:pStyle w:val="ListBullet"/>
        <w:ind w:left="360" w:hanging="360"/>
      </w:pPr>
      <w:r>
        <w:rPr>
          <w:rFonts w:ascii="Calibri" w:hAnsi="Calibri"/>
          <w:b/>
          <w:color w:val="525866"/>
          <w:sz w:val="22"/>
        </w:rPr>
        <w:t xml:space="preserve">U.S. Government contracts accelerating: </w:t>
      </w:r>
      <w:r>
        <w:rPr>
          <w:rFonts w:ascii="Calibri" w:hAnsi="Calibri"/>
          <w:color w:val="525866"/>
          <w:sz w:val="22"/>
        </w:rPr>
        <w:t xml:space="preserve">Oracle won an agency-wide contract from the U.S. Office of Personnel Management for Fusion HCM. Continued VA medical center deployments (14 centers, 500,000 veterans). </w:t>
      </w:r>
      <w:r>
        <w:rPr>
          <w:rFonts w:ascii="Calibri" w:hAnsi="Calibri"/>
          <w:b/>
          <w:color w:val="525866"/>
          <w:sz w:val="22"/>
        </w:rPr>
        <w:t>Confirms federal IT/AI budgets are open and large contracts are being awarded.</w:t>
      </w:r>
    </w:p>
    <w:p>
      <w:pPr>
        <w:pStyle w:val="ListBullet"/>
        <w:ind w:left="360" w:hanging="360"/>
      </w:pPr>
      <w:r>
        <w:rPr>
          <w:rFonts w:ascii="Calibri" w:hAnsi="Calibri"/>
          <w:b/>
          <w:color w:val="525866"/>
          <w:sz w:val="22"/>
        </w:rPr>
        <w:t xml:space="preserve">AI infrastructure demand is “trillions of dollars per year”: </w:t>
      </w:r>
      <w:r>
        <w:rPr>
          <w:rFonts w:ascii="Calibri" w:hAnsi="Calibri"/>
          <w:color w:val="525866"/>
          <w:sz w:val="22"/>
        </w:rPr>
        <w:t>Oracle signed $67B in AI infrastructure contracts in Q4 alone, bringing total to $75B. RPO finished at $638B (+363%). GPU utilization at 97.5%. FY2027 revenue expected to grow +34% CC.</w:t>
      </w:r>
    </w:p>
    <w:p>
      <w:pPr>
        <w:pStyle w:val="Heading3"/>
      </w:pPr>
      <w:r>
        <w:rPr>
          <w:rFonts w:ascii="Calibri" w:hAnsi="Calibri"/>
          <w:b/>
          <w:color w:val="3B4259"/>
          <w:sz w:val="24"/>
        </w:rPr>
        <w:t>Snowflake (SNOW) — Investor Day (June 2, 2026)</w:t>
      </w:r>
    </w:p>
    <w:p>
      <w:r>
        <w:rPr>
          <w:rFonts w:ascii="Calibri" w:hAnsi="Calibri"/>
          <w:b/>
          <w:color w:val="525866"/>
          <w:sz w:val="22"/>
        </w:rPr>
        <w:t xml:space="preserve">Read-Through Signal: </w:t>
      </w:r>
      <w:r>
        <w:rPr>
          <w:rFonts w:ascii="Calibri" w:hAnsi="Calibri"/>
          <w:b/>
          <w:color w:val="30A46C"/>
          <w:sz w:val="22"/>
        </w:rPr>
        <w:t>POSITIVE (data platform demand)</w:t>
      </w:r>
    </w:p>
    <w:p>
      <w:pPr>
        <w:pStyle w:val="ListBullet"/>
        <w:ind w:left="360" w:hanging="360"/>
      </w:pPr>
      <w:r>
        <w:rPr>
          <w:rFonts w:ascii="Calibri" w:hAnsi="Calibri"/>
          <w:b/>
          <w:color w:val="525866"/>
          <w:sz w:val="22"/>
        </w:rPr>
        <w:t xml:space="preserve">AI is creating urgency to get data estates in order: </w:t>
      </w:r>
      <w:r>
        <w:rPr>
          <w:rFonts w:ascii="Calibri" w:hAnsi="Calibri"/>
          <w:color w:val="525866"/>
          <w:sz w:val="22"/>
        </w:rPr>
        <w:t xml:space="preserve">"The differentiation is not the access to the AI models. The differentiation is the access to the right data." This has created urgency for customers to modernize their data infrastructure. </w:t>
      </w:r>
      <w:r>
        <w:rPr>
          <w:rFonts w:ascii="Calibri" w:hAnsi="Calibri"/>
          <w:b/>
          <w:color w:val="525866"/>
          <w:sz w:val="22"/>
        </w:rPr>
        <w:t>PLTR’s Foundry and ontology layer are the enterprise data integration layer that makes AI work — same demand driver.</w:t>
      </w:r>
    </w:p>
    <w:p>
      <w:pPr>
        <w:pStyle w:val="ListBullet"/>
        <w:ind w:left="360" w:hanging="360"/>
      </w:pPr>
      <w:r>
        <w:rPr>
          <w:rFonts w:ascii="Calibri" w:hAnsi="Calibri"/>
          <w:b/>
          <w:color w:val="525866"/>
          <w:sz w:val="22"/>
        </w:rPr>
        <w:t xml:space="preserve">Sales cycles accelerating to multi-year lows: </w:t>
      </w:r>
      <w:r>
        <w:rPr>
          <w:rFonts w:ascii="Calibri" w:hAnsi="Calibri"/>
          <w:color w:val="525866"/>
          <w:sz w:val="22"/>
        </w:rPr>
        <w:t xml:space="preserve">Average days in sales cycle hit the lowest in the last 4 quarters. Time for new customers to consume faster reduced from 10 months to 7 months. </w:t>
      </w:r>
      <w:r>
        <w:rPr>
          <w:rFonts w:ascii="Calibri" w:hAnsi="Calibri"/>
          <w:b/>
          <w:color w:val="525866"/>
          <w:sz w:val="22"/>
        </w:rPr>
        <w:t>Implication: Enterprise AI buying decisions are accelerating, not elongating — positive for PLTR’s deal velocity.</w:t>
      </w:r>
    </w:p>
    <w:p>
      <w:pPr>
        <w:pStyle w:val="ListBullet"/>
        <w:ind w:left="360" w:hanging="360"/>
      </w:pPr>
      <w:r>
        <w:rPr>
          <w:rFonts w:ascii="Calibri" w:hAnsi="Calibri"/>
          <w:b/>
          <w:color w:val="525866"/>
          <w:sz w:val="22"/>
        </w:rPr>
        <w:t xml:space="preserve">Agentic control plane is the new enterprise category: </w:t>
      </w:r>
      <w:r>
        <w:rPr>
          <w:rFonts w:ascii="Calibri" w:hAnsi="Calibri"/>
          <w:color w:val="525866"/>
          <w:sz w:val="22"/>
        </w:rPr>
        <w:t>"There is a new category, the agentic control plane. And that is going to be at the center of how work gets done." PLTR’s AIP and Agent Operating System are positioned directly in this category.</w:t>
      </w:r>
    </w:p>
    <w:p>
      <w:pPr>
        <w:pStyle w:val="ListBullet"/>
        <w:ind w:left="360" w:hanging="360"/>
      </w:pPr>
      <w:r>
        <w:rPr>
          <w:rFonts w:ascii="Calibri" w:hAnsi="Calibri"/>
          <w:b/>
          <w:color w:val="525866"/>
          <w:sz w:val="22"/>
        </w:rPr>
        <w:t xml:space="preserve">Market opportunity expanding 2x to $460B over 5 years: </w:t>
      </w:r>
      <w:r>
        <w:rPr>
          <w:rFonts w:ascii="Calibri" w:hAnsi="Calibri"/>
          <w:color w:val="525866"/>
          <w:sz w:val="22"/>
        </w:rPr>
        <w:t>AI is expanding the total addressable market for data and AI platforms from $225B to $460B+. Top 25 customers now spend $34M/year on average, up from $22M two years ago.</w:t>
      </w:r>
    </w:p>
    <w:p>
      <w:pPr>
        <w:pStyle w:val="Heading3"/>
      </w:pPr>
      <w:r>
        <w:rPr>
          <w:rFonts w:ascii="Calibri" w:hAnsi="Calibri"/>
          <w:b/>
          <w:color w:val="3B4259"/>
          <w:sz w:val="24"/>
        </w:rPr>
        <w:t>Cloudflare (NET) — Investor Day (June 9, 2026)</w:t>
      </w:r>
    </w:p>
    <w:p>
      <w:r>
        <w:rPr>
          <w:rFonts w:ascii="Calibri" w:hAnsi="Calibri"/>
          <w:b/>
          <w:color w:val="525866"/>
          <w:sz w:val="22"/>
        </w:rPr>
        <w:t xml:space="preserve">Read-Through Signal: </w:t>
      </w:r>
      <w:r>
        <w:rPr>
          <w:rFonts w:ascii="Calibri" w:hAnsi="Calibri"/>
          <w:b/>
          <w:color w:val="30A46C"/>
          <w:sz w:val="22"/>
        </w:rPr>
        <w:t>POSITIVE (agentic AI adoption pace)</w:t>
      </w:r>
    </w:p>
    <w:p>
      <w:pPr>
        <w:pStyle w:val="ListBullet"/>
        <w:ind w:left="360" w:hanging="360"/>
      </w:pPr>
      <w:r>
        <w:rPr>
          <w:rFonts w:ascii="Calibri" w:hAnsi="Calibri"/>
          <w:b/>
          <w:color w:val="525866"/>
          <w:sz w:val="22"/>
        </w:rPr>
        <w:t xml:space="preserve">Urgency has gone from 0 to 100: </w:t>
      </w:r>
      <w:r>
        <w:rPr>
          <w:rFonts w:ascii="Calibri" w:hAnsi="Calibri"/>
          <w:color w:val="525866"/>
          <w:sz w:val="22"/>
        </w:rPr>
        <w:t xml:space="preserve">"Organizations are no longer asking whether AI will impact their business. They’re asking how quickly they can operationalize it. I’m seeing customers move from pilots and experimentation into production every single day." </w:t>
      </w:r>
      <w:r>
        <w:rPr>
          <w:rFonts w:ascii="Calibri" w:hAnsi="Calibri"/>
          <w:b/>
          <w:color w:val="525866"/>
          <w:sz w:val="22"/>
        </w:rPr>
        <w:t>This is the most direct validation of PLTR’s AIP production deployment thesis.</w:t>
      </w:r>
    </w:p>
    <w:p>
      <w:pPr>
        <w:pStyle w:val="ListBullet"/>
        <w:ind w:left="360" w:hanging="360"/>
      </w:pPr>
      <w:r>
        <w:rPr>
          <w:rFonts w:ascii="Calibri" w:hAnsi="Calibri"/>
          <w:b/>
          <w:color w:val="525866"/>
          <w:sz w:val="22"/>
        </w:rPr>
        <w:t xml:space="preserve">Bot traffic has already exceeded human traffic online: </w:t>
      </w:r>
      <w:r>
        <w:rPr>
          <w:rFonts w:ascii="Calibri" w:hAnsi="Calibri"/>
          <w:color w:val="525866"/>
          <w:sz w:val="22"/>
        </w:rPr>
        <w:t>Originally forecast for end of 2027, this milestone was hit months early and is growing exponentially. Agentic AI is scaling faster than any prior technology wave.</w:t>
      </w:r>
    </w:p>
    <w:p>
      <w:pPr>
        <w:pStyle w:val="ListBullet"/>
        <w:ind w:left="360" w:hanging="360"/>
      </w:pPr>
      <w:r>
        <w:rPr>
          <w:rFonts w:ascii="Calibri" w:hAnsi="Calibri"/>
          <w:b/>
          <w:color w:val="525866"/>
          <w:sz w:val="22"/>
        </w:rPr>
        <w:t xml:space="preserve">AI spending accelerating despite flat IT budgets: </w:t>
      </w:r>
      <w:r>
        <w:rPr>
          <w:rFonts w:ascii="Calibri" w:hAnsi="Calibri"/>
          <w:color w:val="525866"/>
          <w:sz w:val="22"/>
        </w:rPr>
        <w:t>"Despite those constraints, AI spending is accelerating." Gartner: nearly 90% of technology leaders expect to increase AI investments this year. Carry-forward pipeline up 40% YoY exiting Q1 2026.</w:t>
      </w:r>
    </w:p>
    <w:p>
      <w:pPr>
        <w:pStyle w:val="ListBullet"/>
        <w:ind w:left="360" w:hanging="360"/>
      </w:pPr>
      <w:r>
        <w:rPr>
          <w:rFonts w:ascii="Calibri" w:hAnsi="Calibri"/>
          <w:b/>
          <w:color w:val="525866"/>
          <w:sz w:val="22"/>
        </w:rPr>
        <w:t xml:space="preserve">Revenue growing 37%+ with pipeline up 40% YoY: </w:t>
      </w:r>
      <w:r>
        <w:rPr>
          <w:rFonts w:ascii="Calibri" w:hAnsi="Calibri"/>
          <w:color w:val="525866"/>
          <w:sz w:val="22"/>
        </w:rPr>
        <w:t>On pace to surpass $5B annualized revenue target before 2028. Rule of 40 achieved for 22 consecutive quarters, targeting Rule of 50 by year-end.</w:t>
      </w:r>
    </w:p>
    <w:p>
      <w:pPr>
        <w:pStyle w:val="Heading3"/>
      </w:pPr>
      <w:r>
        <w:rPr>
          <w:rFonts w:ascii="Calibri" w:hAnsi="Calibri"/>
          <w:b/>
          <w:color w:val="3B4259"/>
          <w:sz w:val="24"/>
        </w:rPr>
        <w:t>Datadog (DDOG) — BofA Global Technology Conference (June 3, 2026)</w:t>
      </w:r>
    </w:p>
    <w:p>
      <w:r>
        <w:rPr>
          <w:rFonts w:ascii="Calibri" w:hAnsi="Calibri"/>
          <w:b/>
          <w:color w:val="525866"/>
          <w:sz w:val="22"/>
        </w:rPr>
        <w:t xml:space="preserve">Read-Through Signal: </w:t>
      </w:r>
      <w:r>
        <w:rPr>
          <w:rFonts w:ascii="Calibri" w:hAnsi="Calibri"/>
          <w:b/>
          <w:color w:val="30A46C"/>
          <w:sz w:val="22"/>
        </w:rPr>
        <w:t>POSITIVE (AI native demand cycle)</w:t>
      </w:r>
    </w:p>
    <w:p>
      <w:pPr>
        <w:pStyle w:val="ListBullet"/>
        <w:ind w:left="360" w:hanging="360"/>
      </w:pPr>
      <w:r>
        <w:rPr>
          <w:rFonts w:ascii="Calibri" w:hAnsi="Calibri"/>
          <w:b/>
          <w:color w:val="525866"/>
          <w:sz w:val="22"/>
        </w:rPr>
        <w:t xml:space="preserve">Significant demand cycle in AI-native companies: </w:t>
      </w:r>
      <w:r>
        <w:rPr>
          <w:rFonts w:ascii="Calibri" w:hAnsi="Calibri"/>
          <w:color w:val="525866"/>
          <w:sz w:val="22"/>
        </w:rPr>
        <w:t>"We’ve been accelerating for 3 or 4 quarters" driven by a "significant demand cycle in AI native companies." Acceleration continued in Q1 across all customer segments, geographies, enterprise down to SMB.</w:t>
      </w:r>
    </w:p>
    <w:p>
      <w:pPr>
        <w:pStyle w:val="ListBullet"/>
        <w:ind w:left="360" w:hanging="360"/>
      </w:pPr>
      <w:r>
        <w:rPr>
          <w:rFonts w:ascii="Calibri" w:hAnsi="Calibri"/>
          <w:b/>
          <w:color w:val="525866"/>
          <w:sz w:val="22"/>
        </w:rPr>
        <w:t xml:space="preserve">Hyperscalers using Datadog for AI training — a “seal of approval”: </w:t>
      </w:r>
      <w:r>
        <w:rPr>
          <w:rFonts w:ascii="Calibri" w:hAnsi="Calibri"/>
          <w:color w:val="525866"/>
          <w:sz w:val="22"/>
        </w:rPr>
        <w:t xml:space="preserve">A hyperscaler and a large tech company with foundational model businesses used Datadog for training workloads. "It’s sort of like a seal of approval." </w:t>
      </w:r>
      <w:r>
        <w:rPr>
          <w:rFonts w:ascii="Calibri" w:hAnsi="Calibri"/>
          <w:b/>
          <w:color w:val="525866"/>
          <w:sz w:val="22"/>
        </w:rPr>
        <w:t>Similarly, PLTR’s use by the U.S. military and intelligence community is the ultimate seal of approval for its platform.</w:t>
      </w:r>
    </w:p>
    <w:p>
      <w:pPr>
        <w:pStyle w:val="ListBullet"/>
        <w:ind w:left="360" w:hanging="360"/>
      </w:pPr>
      <w:r>
        <w:rPr>
          <w:rFonts w:ascii="Calibri" w:hAnsi="Calibri"/>
          <w:b/>
          <w:color w:val="525866"/>
          <w:sz w:val="22"/>
        </w:rPr>
        <w:t xml:space="preserve">Long investment cycle with AI as a major accelerant: </w:t>
      </w:r>
      <w:r>
        <w:rPr>
          <w:rFonts w:ascii="Calibri" w:hAnsi="Calibri"/>
          <w:color w:val="525866"/>
          <w:sz w:val="22"/>
        </w:rPr>
        <w:t>"This is a very long time investment cycle because such a high percentage of applications and infrastructure are still on legacy technologies." 70%+ of workloads not yet in the cloud. AI is accelerating the conversion.</w:t>
      </w:r>
    </w:p>
    <w:p>
      <w:pPr>
        <w:pStyle w:val="Heading3"/>
      </w:pPr>
      <w:r>
        <w:rPr>
          <w:rFonts w:ascii="Calibri" w:hAnsi="Calibri"/>
          <w:b/>
          <w:color w:val="3B4259"/>
          <w:sz w:val="24"/>
        </w:rPr>
        <w:t>Zscaler (ZS) — Zenith Live Investor Session (June 9, 2026)</w:t>
      </w:r>
    </w:p>
    <w:p>
      <w:r>
        <w:rPr>
          <w:rFonts w:ascii="Calibri" w:hAnsi="Calibri"/>
          <w:b/>
          <w:color w:val="525866"/>
          <w:sz w:val="22"/>
        </w:rPr>
        <w:t xml:space="preserve">Read-Through Signal: </w:t>
      </w:r>
      <w:r>
        <w:rPr>
          <w:rFonts w:ascii="Calibri" w:hAnsi="Calibri"/>
          <w:b/>
          <w:color w:val="30A46C"/>
          <w:sz w:val="22"/>
        </w:rPr>
        <w:t>POSITIVE (governance bottleneck = PLTR opportunity)</w:t>
      </w:r>
    </w:p>
    <w:p>
      <w:pPr>
        <w:pStyle w:val="ListBullet"/>
        <w:ind w:left="360" w:hanging="360"/>
      </w:pPr>
      <w:r>
        <w:rPr>
          <w:rFonts w:ascii="Calibri" w:hAnsi="Calibri"/>
          <w:b/>
          <w:color w:val="525866"/>
          <w:sz w:val="22"/>
        </w:rPr>
        <w:t xml:space="preserve">CIOs/CISOs are ready to deploy AI but blocked by governance gaps: </w:t>
      </w:r>
      <w:r>
        <w:rPr>
          <w:rFonts w:ascii="Calibri" w:hAnsi="Calibri"/>
          <w:color w:val="525866"/>
          <w:sz w:val="22"/>
        </w:rPr>
        <w:t xml:space="preserve">"We have identified a few pilot programs. We are ready to roll out. We have built some agents. [We are] uncomfortable because the governance and controls aren’t there." </w:t>
      </w:r>
      <w:r>
        <w:rPr>
          <w:rFonts w:ascii="Calibri" w:hAnsi="Calibri"/>
          <w:b/>
          <w:color w:val="525866"/>
          <w:sz w:val="22"/>
        </w:rPr>
        <w:t>This is PLTR’s exact market entry point — the governance and ontology layer that unblocks AI deployment.</w:t>
      </w:r>
    </w:p>
    <w:p>
      <w:pPr>
        <w:pStyle w:val="ListBullet"/>
        <w:ind w:left="360" w:hanging="360"/>
      </w:pPr>
      <w:r>
        <w:rPr>
          <w:rFonts w:ascii="Calibri" w:hAnsi="Calibri"/>
          <w:b/>
          <w:color w:val="525866"/>
          <w:sz w:val="22"/>
        </w:rPr>
        <w:t xml:space="preserve">AI security spending is additive to existing budgets: </w:t>
      </w:r>
      <w:r>
        <w:rPr>
          <w:rFonts w:ascii="Calibri" w:hAnsi="Calibri"/>
          <w:color w:val="525866"/>
          <w:sz w:val="22"/>
        </w:rPr>
        <w:t>"Right now, it’s not cutting anything. It’s an addition to the budget at this point in time." New budgets are being created for AI security and governance.</w:t>
      </w:r>
    </w:p>
    <w:p>
      <w:pPr>
        <w:pStyle w:val="ListBullet"/>
        <w:ind w:left="360" w:hanging="360"/>
      </w:pPr>
      <w:r>
        <w:rPr>
          <w:rFonts w:ascii="Calibri" w:hAnsi="Calibri"/>
          <w:b/>
          <w:color w:val="525866"/>
          <w:sz w:val="22"/>
        </w:rPr>
        <w:t xml:space="preserve">Mythos urgency is higher than COVID-level urgency: </w:t>
      </w:r>
      <w:r>
        <w:rPr>
          <w:rFonts w:ascii="Calibri" w:hAnsi="Calibri"/>
          <w:color w:val="525866"/>
          <w:sz w:val="22"/>
        </w:rPr>
        <w:t>"The urgency for Mythos is actually higher in many ways [than COVID]." Board-level discussions happening every week or two weeks. This is accelerating Zero Trust adoption and AI governance spending.</w:t>
      </w:r>
    </w:p>
    <w:p>
      <w:pPr>
        <w:pStyle w:val="ListBullet"/>
        <w:ind w:left="360" w:hanging="360"/>
      </w:pPr>
      <w:r>
        <w:rPr>
          <w:rFonts w:ascii="Calibri" w:hAnsi="Calibri"/>
          <w:b/>
          <w:color w:val="525866"/>
          <w:sz w:val="22"/>
        </w:rPr>
        <w:t xml:space="preserve">AI Protect crossed $100M ARR in 12 months since launch: </w:t>
      </w:r>
      <w:r>
        <w:rPr>
          <w:rFonts w:ascii="Calibri" w:hAnsi="Calibri"/>
          <w:color w:val="525866"/>
          <w:sz w:val="22"/>
        </w:rPr>
        <w:t>Data security crossed $500M ARR with 30%+ YoY growth. Total ARR crossed $3.5B. Confirms enterprise willingness to pay for AI governance and security.</w:t>
      </w:r>
    </w:p>
    <w:p>
      <w:pPr>
        <w:pStyle w:val="Heading3"/>
      </w:pPr>
      <w:r>
        <w:rPr>
          <w:rFonts w:ascii="Calibri" w:hAnsi="Calibri"/>
          <w:b/>
          <w:color w:val="3B4259"/>
          <w:sz w:val="24"/>
        </w:rPr>
        <w:t>Salesforce (CRM) — Evercore TMT Conference (June 3, 2026)</w:t>
      </w:r>
    </w:p>
    <w:p>
      <w:r>
        <w:rPr>
          <w:rFonts w:ascii="Calibri" w:hAnsi="Calibri"/>
          <w:b/>
          <w:color w:val="525866"/>
          <w:sz w:val="22"/>
        </w:rPr>
        <w:t xml:space="preserve">Read-Through Signal: </w:t>
      </w:r>
      <w:r>
        <w:rPr>
          <w:rFonts w:ascii="Calibri" w:hAnsi="Calibri"/>
          <w:b/>
          <w:color w:val="30A46C"/>
          <w:sz w:val="22"/>
        </w:rPr>
        <w:t>POSITIVE (agentic enterprise validation)</w:t>
      </w:r>
    </w:p>
    <w:p>
      <w:pPr>
        <w:pStyle w:val="ListBullet"/>
        <w:ind w:left="360" w:hanging="360"/>
      </w:pPr>
      <w:r>
        <w:rPr>
          <w:rFonts w:ascii="Calibri" w:hAnsi="Calibri"/>
          <w:b/>
          <w:color w:val="525866"/>
          <w:sz w:val="22"/>
        </w:rPr>
        <w:t xml:space="preserve">Agentic AI is nondeterministic — the harness is the value: </w:t>
      </w:r>
      <w:r>
        <w:rPr>
          <w:rFonts w:ascii="Calibri" w:hAnsi="Calibri"/>
          <w:color w:val="525866"/>
          <w:sz w:val="22"/>
        </w:rPr>
        <w:t xml:space="preserve">"Everything we’re doing is the harness." The value in the agentic world accrues to the orchestration layer that mixes models, provides telemetry, and evaluates outputs. </w:t>
      </w:r>
      <w:r>
        <w:rPr>
          <w:rFonts w:ascii="Calibri" w:hAnsi="Calibri"/>
          <w:b/>
          <w:color w:val="525866"/>
          <w:sz w:val="22"/>
        </w:rPr>
        <w:t>PLTR’s AIP and Agent Operating System are exactly this harness for enterprise and government.</w:t>
      </w:r>
    </w:p>
    <w:p>
      <w:pPr>
        <w:pStyle w:val="ListBullet"/>
        <w:ind w:left="360" w:hanging="360"/>
      </w:pPr>
      <w:r>
        <w:rPr>
          <w:rFonts w:ascii="Calibri" w:hAnsi="Calibri"/>
          <w:b/>
          <w:color w:val="525866"/>
          <w:sz w:val="22"/>
        </w:rPr>
        <w:t xml:space="preserve">U.S. Government is a major customer: </w:t>
      </w:r>
      <w:r>
        <w:rPr>
          <w:rFonts w:ascii="Calibri" w:hAnsi="Calibri"/>
          <w:color w:val="525866"/>
          <w:sz w:val="22"/>
        </w:rPr>
        <w:t>"We sell a lot to the U.S. government." Salesforce has shied away from Chinese AI models specifically because of government relationships. Confirms government AI spending is active and security-conscious.</w:t>
      </w:r>
    </w:p>
    <w:p>
      <w:pPr>
        <w:pStyle w:val="ListBullet"/>
        <w:ind w:left="360" w:hanging="360"/>
      </w:pPr>
      <w:r>
        <w:rPr>
          <w:rFonts w:ascii="Calibri" w:hAnsi="Calibri"/>
          <w:b/>
          <w:color w:val="525866"/>
          <w:sz w:val="22"/>
        </w:rPr>
        <w:t xml:space="preserve">DIY AI has largely failed; platform consolidation is underway: </w:t>
      </w:r>
      <w:r>
        <w:rPr>
          <w:rFonts w:ascii="Calibri" w:hAnsi="Calibri"/>
          <w:color w:val="525866"/>
          <w:sz w:val="22"/>
        </w:rPr>
        <w:t xml:space="preserve">"A lot of DIY out there that some has worked, a lot has failed." Now seeing "more consolidation and more use case by use case success." </w:t>
      </w:r>
      <w:r>
        <w:rPr>
          <w:rFonts w:ascii="Calibri" w:hAnsi="Calibri"/>
          <w:b/>
          <w:color w:val="525866"/>
          <w:sz w:val="22"/>
        </w:rPr>
        <w:t>This is a direct tailwind for PLTR — enterprises that tried to build their own AI platforms are consolidating onto proven platforms.</w:t>
      </w:r>
    </w:p>
    <w:p>
      <w:pPr>
        <w:pStyle w:val="ListBullet"/>
        <w:ind w:left="360" w:hanging="360"/>
      </w:pPr>
      <w:r>
        <w:rPr>
          <w:rFonts w:ascii="Calibri" w:hAnsi="Calibri"/>
          <w:b/>
          <w:color w:val="525866"/>
          <w:sz w:val="22"/>
        </w:rPr>
        <w:t xml:space="preserve">Data quality is the primary AI bottleneck: </w:t>
      </w:r>
      <w:r>
        <w:rPr>
          <w:rFonts w:ascii="Calibri" w:hAnsi="Calibri"/>
          <w:color w:val="525866"/>
          <w:sz w:val="22"/>
        </w:rPr>
        <w:t>"The AI shows them where the data is not clean, it’s not right." PLTR’s Foundry and ontology layer directly address this — the data integration and mastering problem is PLTR’s core competency.</w:t>
      </w:r>
    </w:p>
    <w:p>
      <w:r>
        <w:rPr>
          <w:rFonts w:ascii="Calibri" w:hAnsi="Calibri"/>
          <w:b/>
          <w:color w:val="525866"/>
          <w:sz w:val="22"/>
        </w:rPr>
        <w:t xml:space="preserve">Peer Read-Through Summary: </w:t>
      </w:r>
      <w:r>
        <w:rPr>
          <w:rFonts w:ascii="Calibri" w:hAnsi="Calibri"/>
          <w:color w:val="525866"/>
          <w:sz w:val="22"/>
        </w:rPr>
        <w:t>Every peer reporting or presenting since May 4, 2026 has described the same environment: AI adoption has crossed the inflection point from pilot to production, enterprise and government budgets are open and growing, the governance/orchestration layer is the critical bottleneck, and agentic AI is scaling faster than any prior technology wave. This is the most favorable peer read-through environment PLTR has ever operated in. The one nuance: the bar for PLTR is already very high, and the stock has de-rated despite this backdrop, suggesting the market wants to see sustained execution rather than just a favorable macro.</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AIPCon 10 (June 4), which showcased production deployments across a diverse set of enterprise and government customers — reinforcing that AIP is not a demo platform but an operational system. No negative developments (no guidance cuts, no contract losses, no regulatory issues) have emerged.</w:t>
      </w:r>
    </w:p>
    <w:p>
      <w:pPr>
        <w:pStyle w:val="ListBullet"/>
        <w:ind w:left="360" w:hanging="360"/>
      </w:pPr>
      <w:r>
        <w:rPr>
          <w:rFonts w:ascii="Calibri" w:hAnsi="Calibri"/>
          <w:b/>
          <w:color w:val="525866"/>
          <w:sz w:val="22"/>
        </w:rPr>
        <w:t xml:space="preserve">August 3, 2026 — Q2 2026 Earnings Release Announced: </w:t>
      </w:r>
      <w:r>
        <w:rPr>
          <w:rFonts w:ascii="Calibri" w:hAnsi="Calibri"/>
          <w:color w:val="525866"/>
          <w:sz w:val="22"/>
        </w:rPr>
        <w:t>Palantir confirmed Q2 2026 results will be released on August 3, 2026 after market close, with a webcast at 5:00 PM ET. Shareholders invited to submit questions in advance. Source: Palantir Press Release, July 13, 2026.</w:t>
      </w:r>
    </w:p>
    <w:p>
      <w:pPr>
        <w:pStyle w:val="ListBullet"/>
        <w:ind w:left="360" w:hanging="360"/>
      </w:pPr>
      <w:r>
        <w:rPr>
          <w:rFonts w:ascii="Calibri" w:hAnsi="Calibri"/>
          <w:b/>
          <w:color w:val="525866"/>
          <w:sz w:val="22"/>
        </w:rPr>
        <w:t xml:space="preserve">June 4, 2026 — AIPCon 10 (Tenth Edition): </w:t>
      </w:r>
      <w:r>
        <w:rPr>
          <w:rFonts w:ascii="Calibri" w:hAnsi="Calibri"/>
          <w:color w:val="525866"/>
          <w:sz w:val="22"/>
        </w:rPr>
        <w:t xml:space="preserve">Palantir hosted its tenth AIPCon event, featuring </w:t>
      </w:r>
      <w:r>
        <w:rPr>
          <w:rFonts w:ascii="Calibri" w:hAnsi="Calibri"/>
          <w:b/>
          <w:color w:val="525866"/>
          <w:sz w:val="22"/>
        </w:rPr>
        <w:t>customer-led live demos of Foundry, AIP, Ontology, and Apollo in production</w:t>
      </w:r>
      <w:r>
        <w:rPr>
          <w:rFonts w:ascii="Calibri" w:hAnsi="Calibri"/>
          <w:color w:val="525866"/>
          <w:sz w:val="22"/>
        </w:rPr>
        <w:t xml:space="preserve"> across leading organizations including Kirkland &amp; Ellis, McCarthy Building, U.S. Department of Agriculture, Hertz, Nscale, Accenture, and Parts Town. Many customers shared their work publicly for the first time. </w:t>
      </w:r>
      <w:r>
        <w:rPr>
          <w:rFonts w:ascii="Calibri" w:hAnsi="Calibri"/>
          <w:b/>
          <w:color w:val="525866"/>
          <w:sz w:val="22"/>
        </w:rPr>
        <w:t>Implication: Breadth of customer base (law firms, construction, agriculture, automotive, cloud infrastructure, consulting, parts distribution) demonstrates AIP’s cross-industry applicability and production readiness. Source: Palantir Press Release, June 4, 2026.</w:t>
      </w:r>
    </w:p>
    <w:p>
      <w:pPr>
        <w:pStyle w:val="ListBullet"/>
        <w:ind w:left="360" w:hanging="360"/>
      </w:pPr>
      <w:r>
        <w:rPr>
          <w:rFonts w:ascii="Calibri" w:hAnsi="Calibri"/>
          <w:b/>
          <w:color w:val="525866"/>
          <w:sz w:val="22"/>
        </w:rPr>
        <w:t xml:space="preserve">May 4, 2026 — Q1 2026 Earnings (Baseline): </w:t>
      </w:r>
      <w:r>
        <w:rPr>
          <w:rFonts w:ascii="Calibri" w:hAnsi="Calibri"/>
          <w:color w:val="525866"/>
          <w:sz w:val="22"/>
        </w:rPr>
        <w:t>Revenue +85% YoY (record as public company), U.S. total revenue crossed triple-digit growth for first time since DPO, adjusted operating margin 60%, Rule of 40 expanded to 145, FY2026 revenue guidance raised to 71% YoY growth (largest ever full-year raise), U.S. Commercial guidance raised to ≥120% YoY, Q2 guidance midpoint well above consensus. Maven usage quadrupled YoY. Net dollar retention surged to 150%. Source: Palantir 8-K / Earnings Release, May 4, 2026.</w:t>
      </w:r>
    </w:p>
    <w:p>
      <w:pPr>
        <w:pStyle w:val="ListBullet"/>
        <w:ind w:left="360" w:hanging="360"/>
      </w:pPr>
      <w:r>
        <w:rPr>
          <w:rFonts w:ascii="Calibri" w:hAnsi="Calibri"/>
          <w:b/>
          <w:color w:val="525866"/>
          <w:sz w:val="22"/>
        </w:rPr>
        <w:t xml:space="preserve">Macro / Sector Tailwinds: </w:t>
      </w:r>
      <w:r>
        <w:rPr>
          <w:rFonts w:ascii="Calibri" w:hAnsi="Calibri"/>
          <w:color w:val="525866"/>
          <w:sz w:val="22"/>
        </w:rPr>
        <w:t>U.S. government executive order on AI security (referenced by CrowdStrike, June 2026) creates a direct tailwind for PLTR’s government AI and cybersecurity (Apollo) business. IDC forecasts AI software spending to grow 53% in 2026, 17% faster than AI hardware spending (ServiceNow, July 2026). Worldwide AI spending forecast to exceed $2.5 trillion (CrowdStrike, June 2026).</w:t>
      </w:r>
    </w:p>
    <w:p>
      <w:pPr>
        <w:pStyle w:val="ListBullet"/>
        <w:ind w:left="360" w:hanging="360"/>
      </w:pPr>
      <w:r>
        <w:rPr>
          <w:rFonts w:ascii="Calibri" w:hAnsi="Calibri"/>
          <w:b/>
          <w:color w:val="525866"/>
          <w:sz w:val="22"/>
        </w:rPr>
        <w:t xml:space="preserve">No Analyst Rating Changes Found: </w:t>
      </w:r>
      <w:r>
        <w:rPr>
          <w:rFonts w:ascii="Calibri" w:hAnsi="Calibri"/>
          <w:color w:val="525866"/>
          <w:sz w:val="22"/>
        </w:rPr>
        <w:t>No upgrade or downgrade data was available for PLTR in the period since Q1 2026 earnings.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is dominated by 10b5-1 planned sales — routine and pre-scheduled. </w:t>
      </w:r>
      <w:r>
        <w:rPr>
          <w:rFonts w:ascii="Calibri" w:hAnsi="Calibri"/>
          <w:b/>
          <w:color w:val="525866"/>
          <w:sz w:val="22"/>
        </w:rPr>
        <w:t>No discretionary open-market buys or unusual clustered selling stands out.</w:t>
      </w:r>
      <w:r>
        <w:rPr>
          <w:rFonts w:ascii="Calibri" w:hAnsi="Calibri"/>
          <w:color w:val="525866"/>
          <w:sz w:val="22"/>
        </w:rPr>
        <w:t xml:space="preserve"> The pattern is consistent with executives monetizing equity compensation on pre-set schedules, not a signal of concern about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Moore, Alexander D.</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16,000</w:t>
            </w:r>
          </w:p>
        </w:tc>
        <w:tc>
          <w:tcPr>
            <w:tcW w:type="dxa" w:w="1440"/>
          </w:tcPr>
          <w:p>
            <w:r>
              <w:rPr>
                <w:rFonts w:ascii="Calibri" w:hAnsi="Calibri"/>
                <w:sz w:val="22"/>
              </w:rPr>
              <w:t>Jul 15, 2026</w:t>
            </w:r>
          </w:p>
        </w:tc>
        <w:tc>
          <w:tcPr>
            <w:tcW w:type="dxa" w:w="1440"/>
          </w:tcPr>
          <w:p>
            <w:r>
              <w:rPr>
                <w:rFonts w:ascii="Calibri" w:hAnsi="Calibri"/>
                <w:sz w:val="22"/>
              </w:rPr>
              <w:t>10b5-1 planned sale; third consecutive monthly sale of same size</w:t>
            </w:r>
          </w:p>
        </w:tc>
      </w:tr>
      <w:tr>
        <w:tc>
          <w:tcPr>
            <w:tcW w:type="dxa" w:w="1440"/>
          </w:tcPr>
          <w:p>
            <w:r>
              <w:rPr>
                <w:rFonts w:ascii="Calibri" w:hAnsi="Calibri"/>
                <w:sz w:val="22"/>
              </w:rPr>
              <w:t>Sankar, Shyam</w:t>
            </w:r>
          </w:p>
        </w:tc>
        <w:tc>
          <w:tcPr>
            <w:tcW w:type="dxa" w:w="1440"/>
          </w:tcPr>
          <w:p>
            <w:r>
              <w:rPr>
                <w:rFonts w:ascii="Calibri" w:hAnsi="Calibri"/>
                <w:sz w:val="22"/>
              </w:rPr>
              <w:t>See Remarks (Executive)</w:t>
            </w:r>
          </w:p>
        </w:tc>
        <w:tc>
          <w:tcPr>
            <w:tcW w:type="dxa" w:w="1440"/>
          </w:tcPr>
          <w:p>
            <w:r>
              <w:rPr>
                <w:rFonts w:ascii="Calibri" w:hAnsi="Calibri"/>
                <w:sz w:val="22"/>
              </w:rPr>
              <w:t>10b5-1 Planned Sale</w:t>
            </w:r>
          </w:p>
        </w:tc>
        <w:tc>
          <w:tcPr>
            <w:tcW w:type="dxa" w:w="1440"/>
          </w:tcPr>
          <w:p>
            <w:r>
              <w:rPr>
                <w:rFonts w:ascii="Calibri" w:hAnsi="Calibri"/>
                <w:sz w:val="22"/>
              </w:rPr>
              <w:t>150,000 (indirect) + 35,000 (direct)</w:t>
            </w:r>
          </w:p>
        </w:tc>
        <w:tc>
          <w:tcPr>
            <w:tcW w:type="dxa" w:w="1440"/>
          </w:tcPr>
          <w:p>
            <w:r>
              <w:rPr>
                <w:rFonts w:ascii="Calibri" w:hAnsi="Calibri"/>
                <w:sz w:val="22"/>
              </w:rPr>
              <w:t>Jul 2, 2026</w:t>
            </w:r>
          </w:p>
        </w:tc>
        <w:tc>
          <w:tcPr>
            <w:tcW w:type="dxa" w:w="1440"/>
          </w:tcPr>
          <w:p>
            <w:r>
              <w:rPr>
                <w:rFonts w:ascii="Calibri" w:hAnsi="Calibri"/>
                <w:sz w:val="22"/>
              </w:rPr>
              <w:t>10b5-1 plan; also converted 35,000 Class B to Class A shares on same date</w:t>
            </w:r>
          </w:p>
        </w:tc>
      </w:tr>
      <w:tr>
        <w:tc>
          <w:tcPr>
            <w:tcW w:type="dxa" w:w="1440"/>
          </w:tcPr>
          <w:p>
            <w:r>
              <w:rPr>
                <w:rFonts w:ascii="Calibri" w:hAnsi="Calibri"/>
                <w:sz w:val="22"/>
              </w:rPr>
              <w:t>Moore, Alexander D.</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16,000</w:t>
            </w:r>
          </w:p>
        </w:tc>
        <w:tc>
          <w:tcPr>
            <w:tcW w:type="dxa" w:w="1440"/>
          </w:tcPr>
          <w:p>
            <w:r>
              <w:rPr>
                <w:rFonts w:ascii="Calibri" w:hAnsi="Calibri"/>
                <w:sz w:val="22"/>
              </w:rPr>
              <w:t>Jun 15, 2026</w:t>
            </w:r>
          </w:p>
        </w:tc>
        <w:tc>
          <w:tcPr>
            <w:tcW w:type="dxa" w:w="1440"/>
          </w:tcPr>
          <w:p>
            <w:r>
              <w:rPr>
                <w:rFonts w:ascii="Calibri" w:hAnsi="Calibri"/>
                <w:sz w:val="22"/>
              </w:rPr>
              <w:t>10b5-1 planned sale; consistent monthly cadence</w:t>
            </w:r>
          </w:p>
        </w:tc>
      </w:tr>
      <w:tr>
        <w:tc>
          <w:tcPr>
            <w:tcW w:type="dxa" w:w="1440"/>
          </w:tcPr>
          <w:p>
            <w:r>
              <w:rPr>
                <w:rFonts w:ascii="Calibri" w:hAnsi="Calibri"/>
                <w:sz w:val="22"/>
              </w:rPr>
              <w:t>Moore, Alexander D.</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2,118</w:t>
            </w:r>
          </w:p>
        </w:tc>
        <w:tc>
          <w:tcPr>
            <w:tcW w:type="dxa" w:w="1440"/>
          </w:tcPr>
          <w:p>
            <w:r>
              <w:rPr>
                <w:rFonts w:ascii="Calibri" w:hAnsi="Calibri"/>
                <w:sz w:val="22"/>
              </w:rPr>
              <w:t>Jun 4, 2026</w:t>
            </w:r>
          </w:p>
        </w:tc>
        <w:tc>
          <w:tcPr>
            <w:tcW w:type="dxa" w:w="1440"/>
          </w:tcPr>
          <w:p>
            <w:r>
              <w:rPr>
                <w:rFonts w:ascii="Calibri" w:hAnsi="Calibri"/>
                <w:sz w:val="22"/>
              </w:rPr>
              <w:t>Equity award / compensation grant; not a market transaction</w:t>
            </w:r>
          </w:p>
        </w:tc>
      </w:tr>
      <w:tr>
        <w:tc>
          <w:tcPr>
            <w:tcW w:type="dxa" w:w="1440"/>
          </w:tcPr>
          <w:p>
            <w:r>
              <w:rPr>
                <w:rFonts w:ascii="Calibri" w:hAnsi="Calibri"/>
                <w:sz w:val="22"/>
              </w:rPr>
              <w:t>Schiff, Alexandra W.</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2,118</w:t>
            </w:r>
          </w:p>
        </w:tc>
        <w:tc>
          <w:tcPr>
            <w:tcW w:type="dxa" w:w="1440"/>
          </w:tcPr>
          <w:p>
            <w:r>
              <w:rPr>
                <w:rFonts w:ascii="Calibri" w:hAnsi="Calibri"/>
                <w:sz w:val="22"/>
              </w:rPr>
              <w:t>Jun 4, 2026</w:t>
            </w:r>
          </w:p>
        </w:tc>
        <w:tc>
          <w:tcPr>
            <w:tcW w:type="dxa" w:w="1440"/>
          </w:tcPr>
          <w:p>
            <w:r>
              <w:rPr>
                <w:rFonts w:ascii="Calibri" w:hAnsi="Calibri"/>
                <w:sz w:val="22"/>
              </w:rPr>
              <w:t>Equity award / compensation grant; not a market transaction</w:t>
            </w:r>
          </w:p>
        </w:tc>
      </w:tr>
      <w:tr>
        <w:tc>
          <w:tcPr>
            <w:tcW w:type="dxa" w:w="1440"/>
          </w:tcPr>
          <w:p>
            <w:r>
              <w:rPr>
                <w:rFonts w:ascii="Calibri" w:hAnsi="Calibri"/>
                <w:sz w:val="22"/>
              </w:rPr>
              <w:t>Stat, Lauren Elaina Friedman</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2,118</w:t>
            </w:r>
          </w:p>
        </w:tc>
        <w:tc>
          <w:tcPr>
            <w:tcW w:type="dxa" w:w="1440"/>
          </w:tcPr>
          <w:p>
            <w:r>
              <w:rPr>
                <w:rFonts w:ascii="Calibri" w:hAnsi="Calibri"/>
                <w:sz w:val="22"/>
              </w:rPr>
              <w:t>Jun 4, 2026</w:t>
            </w:r>
          </w:p>
        </w:tc>
        <w:tc>
          <w:tcPr>
            <w:tcW w:type="dxa" w:w="1440"/>
          </w:tcPr>
          <w:p>
            <w:r>
              <w:rPr>
                <w:rFonts w:ascii="Calibri" w:hAnsi="Calibri"/>
                <w:sz w:val="22"/>
              </w:rPr>
              <w:t>Equity award / compensation grant; not a market transaction</w:t>
            </w:r>
          </w:p>
        </w:tc>
      </w:tr>
      <w:tr>
        <w:tc>
          <w:tcPr>
            <w:tcW w:type="dxa" w:w="1440"/>
          </w:tcPr>
          <w:p>
            <w:r>
              <w:rPr>
                <w:rFonts w:ascii="Calibri" w:hAnsi="Calibri"/>
                <w:sz w:val="22"/>
              </w:rPr>
              <w:t>Woersching, Eric H.</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2,118</w:t>
            </w:r>
          </w:p>
        </w:tc>
        <w:tc>
          <w:tcPr>
            <w:tcW w:type="dxa" w:w="1440"/>
          </w:tcPr>
          <w:p>
            <w:r>
              <w:rPr>
                <w:rFonts w:ascii="Calibri" w:hAnsi="Calibri"/>
                <w:sz w:val="22"/>
              </w:rPr>
              <w:t>Jun 4, 2026</w:t>
            </w:r>
          </w:p>
        </w:tc>
        <w:tc>
          <w:tcPr>
            <w:tcW w:type="dxa" w:w="1440"/>
          </w:tcPr>
          <w:p>
            <w:r>
              <w:rPr>
                <w:rFonts w:ascii="Calibri" w:hAnsi="Calibri"/>
                <w:sz w:val="22"/>
              </w:rPr>
              <w:t>Equity award / compensation grant; not a market transaction</w:t>
            </w:r>
          </w:p>
        </w:tc>
      </w:tr>
      <w:tr>
        <w:tc>
          <w:tcPr>
            <w:tcW w:type="dxa" w:w="1440"/>
          </w:tcPr>
          <w:p>
            <w:r>
              <w:rPr>
                <w:rFonts w:ascii="Calibri" w:hAnsi="Calibri"/>
                <w:sz w:val="22"/>
              </w:rPr>
              <w:t>Stat, Lauren Elaina Friedman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1,667</w:t>
            </w:r>
          </w:p>
        </w:tc>
        <w:tc>
          <w:tcPr>
            <w:tcW w:type="dxa" w:w="1440"/>
          </w:tcPr>
          <w:p>
            <w:r>
              <w:rPr>
                <w:rFonts w:ascii="Calibri" w:hAnsi="Calibri"/>
                <w:sz w:val="22"/>
              </w:rPr>
              <w:t>May 29, 2026</w:t>
            </w:r>
          </w:p>
        </w:tc>
        <w:tc>
          <w:tcPr>
            <w:tcW w:type="dxa" w:w="1440"/>
          </w:tcPr>
          <w:p>
            <w:r>
              <w:rPr>
                <w:rFonts w:ascii="Calibri" w:hAnsi="Calibri"/>
                <w:sz w:val="22"/>
              </w:rPr>
              <w:t>10b5-1 plan; small routine sale</w:t>
            </w:r>
          </w:p>
        </w:tc>
      </w:tr>
      <w:tr>
        <w:tc>
          <w:tcPr>
            <w:tcW w:type="dxa" w:w="1440"/>
          </w:tcPr>
          <w:p>
            <w:r>
              <w:rPr>
                <w:rFonts w:ascii="Calibri" w:hAnsi="Calibri"/>
                <w:sz w:val="22"/>
              </w:rPr>
              <w:t>Buckley, Jeffrey</w:t>
            </w:r>
          </w:p>
        </w:tc>
        <w:tc>
          <w:tcPr>
            <w:tcW w:type="dxa" w:w="1440"/>
          </w:tcPr>
          <w:p>
            <w:r>
              <w:rPr>
                <w:rFonts w:ascii="Calibri" w:hAnsi="Calibri"/>
                <w:sz w:val="22"/>
              </w:rPr>
              <w:t>See Remarks (Executive)</w:t>
            </w:r>
          </w:p>
        </w:tc>
        <w:tc>
          <w:tcPr>
            <w:tcW w:type="dxa" w:w="1440"/>
          </w:tcPr>
          <w:p>
            <w:r>
              <w:rPr>
                <w:rFonts w:ascii="Calibri" w:hAnsi="Calibri"/>
                <w:sz w:val="22"/>
              </w:rPr>
              <w:t>10b5-1 Planned Sale</w:t>
            </w:r>
          </w:p>
        </w:tc>
        <w:tc>
          <w:tcPr>
            <w:tcW w:type="dxa" w:w="1440"/>
          </w:tcPr>
          <w:p>
            <w:r>
              <w:rPr>
                <w:rFonts w:ascii="Calibri" w:hAnsi="Calibri"/>
                <w:sz w:val="22"/>
              </w:rPr>
              <w:t>1,712</w:t>
            </w:r>
          </w:p>
        </w:tc>
        <w:tc>
          <w:tcPr>
            <w:tcW w:type="dxa" w:w="1440"/>
          </w:tcPr>
          <w:p>
            <w:r>
              <w:rPr>
                <w:rFonts w:ascii="Calibri" w:hAnsi="Calibri"/>
                <w:sz w:val="22"/>
              </w:rPr>
              <w:t>May 20, 2026</w:t>
            </w:r>
          </w:p>
        </w:tc>
        <w:tc>
          <w:tcPr>
            <w:tcW w:type="dxa" w:w="1440"/>
          </w:tcPr>
          <w:p>
            <w:r>
              <w:rPr>
                <w:rFonts w:ascii="Calibri" w:hAnsi="Calibri"/>
                <w:sz w:val="22"/>
              </w:rPr>
              <w:t>10b5-1 plan; routine small sale</w:t>
            </w:r>
          </w:p>
        </w:tc>
      </w:tr>
      <w:tr>
        <w:tc>
          <w:tcPr>
            <w:tcW w:type="dxa" w:w="1440"/>
          </w:tcPr>
          <w:p>
            <w:r>
              <w:rPr>
                <w:rFonts w:ascii="Calibri" w:hAnsi="Calibri"/>
                <w:sz w:val="22"/>
              </w:rPr>
              <w:t>Glazer, David A.</w:t>
            </w:r>
          </w:p>
        </w:tc>
        <w:tc>
          <w:tcPr>
            <w:tcW w:type="dxa" w:w="1440"/>
          </w:tcPr>
          <w:p>
            <w:r>
              <w:rPr>
                <w:rFonts w:ascii="Calibri" w:hAnsi="Calibri"/>
                <w:sz w:val="22"/>
              </w:rPr>
              <w:t>See Remarks (Executive)</w:t>
            </w:r>
          </w:p>
        </w:tc>
        <w:tc>
          <w:tcPr>
            <w:tcW w:type="dxa" w:w="1440"/>
          </w:tcPr>
          <w:p>
            <w:r>
              <w:rPr>
                <w:rFonts w:ascii="Calibri" w:hAnsi="Calibri"/>
                <w:sz w:val="22"/>
              </w:rPr>
              <w:t>10b5-1 Planned Sale</w:t>
            </w:r>
          </w:p>
        </w:tc>
        <w:tc>
          <w:tcPr>
            <w:tcW w:type="dxa" w:w="1440"/>
          </w:tcPr>
          <w:p>
            <w:r>
              <w:rPr>
                <w:rFonts w:ascii="Calibri" w:hAnsi="Calibri"/>
                <w:sz w:val="22"/>
              </w:rPr>
              <w:t>17,128</w:t>
            </w:r>
          </w:p>
        </w:tc>
        <w:tc>
          <w:tcPr>
            <w:tcW w:type="dxa" w:w="1440"/>
          </w:tcPr>
          <w:p>
            <w:r>
              <w:rPr>
                <w:rFonts w:ascii="Calibri" w:hAnsi="Calibri"/>
                <w:sz w:val="22"/>
              </w:rPr>
              <w:t>May 20, 2026</w:t>
            </w:r>
          </w:p>
        </w:tc>
        <w:tc>
          <w:tcPr>
            <w:tcW w:type="dxa" w:w="1440"/>
          </w:tcPr>
          <w:p>
            <w:r>
              <w:rPr>
                <w:rFonts w:ascii="Calibri" w:hAnsi="Calibri"/>
                <w:sz w:val="22"/>
              </w:rPr>
              <w:t>10b5-1 plan; routine sale</w:t>
            </w:r>
          </w:p>
        </w:tc>
      </w:tr>
      <w:tr>
        <w:tc>
          <w:tcPr>
            <w:tcW w:type="dxa" w:w="1440"/>
          </w:tcPr>
          <w:p>
            <w:r>
              <w:rPr>
                <w:rFonts w:ascii="Calibri" w:hAnsi="Calibri"/>
                <w:sz w:val="22"/>
              </w:rPr>
              <w:t>Taylor, Ryan D.</w:t>
            </w:r>
          </w:p>
        </w:tc>
        <w:tc>
          <w:tcPr>
            <w:tcW w:type="dxa" w:w="1440"/>
          </w:tcPr>
          <w:p>
            <w:r>
              <w:rPr>
                <w:rFonts w:ascii="Calibri" w:hAnsi="Calibri"/>
                <w:sz w:val="22"/>
              </w:rPr>
              <w:t>See Remarks (Executive)</w:t>
            </w:r>
          </w:p>
        </w:tc>
        <w:tc>
          <w:tcPr>
            <w:tcW w:type="dxa" w:w="1440"/>
          </w:tcPr>
          <w:p>
            <w:r>
              <w:rPr>
                <w:rFonts w:ascii="Calibri" w:hAnsi="Calibri"/>
                <w:sz w:val="22"/>
              </w:rPr>
              <w:t>10b5-1 Planned Sale</w:t>
            </w:r>
          </w:p>
        </w:tc>
        <w:tc>
          <w:tcPr>
            <w:tcW w:type="dxa" w:w="1440"/>
          </w:tcPr>
          <w:p>
            <w:r>
              <w:rPr>
                <w:rFonts w:ascii="Calibri" w:hAnsi="Calibri"/>
                <w:sz w:val="22"/>
              </w:rPr>
              <w:t>19,662</w:t>
            </w:r>
          </w:p>
        </w:tc>
        <w:tc>
          <w:tcPr>
            <w:tcW w:type="dxa" w:w="1440"/>
          </w:tcPr>
          <w:p>
            <w:r>
              <w:rPr>
                <w:rFonts w:ascii="Calibri" w:hAnsi="Calibri"/>
                <w:sz w:val="22"/>
              </w:rPr>
              <w:t>May 20, 2026</w:t>
            </w:r>
          </w:p>
        </w:tc>
        <w:tc>
          <w:tcPr>
            <w:tcW w:type="dxa" w:w="1440"/>
          </w:tcPr>
          <w:p>
            <w:r>
              <w:rPr>
                <w:rFonts w:ascii="Calibri" w:hAnsi="Calibri"/>
                <w:sz w:val="22"/>
              </w:rPr>
              <w:t>10b5-1 plan; routine sale</w:t>
            </w:r>
          </w:p>
        </w:tc>
      </w:tr>
      <w:tr>
        <w:tc>
          <w:tcPr>
            <w:tcW w:type="dxa" w:w="1440"/>
          </w:tcPr>
          <w:p>
            <w:r>
              <w:rPr>
                <w:rFonts w:ascii="Calibri" w:hAnsi="Calibri"/>
                <w:sz w:val="22"/>
              </w:rPr>
              <w:t>Karp, Alexander C.</w:t>
            </w:r>
          </w:p>
        </w:tc>
        <w:tc>
          <w:tcPr>
            <w:tcW w:type="dxa" w:w="1440"/>
          </w:tcPr>
          <w:p>
            <w:r>
              <w:rPr>
                <w:rFonts w:ascii="Calibri" w:hAnsi="Calibri"/>
                <w:sz w:val="22"/>
              </w:rPr>
              <w:t>CEO / Director</w:t>
            </w:r>
          </w:p>
        </w:tc>
        <w:tc>
          <w:tcPr>
            <w:tcW w:type="dxa" w:w="1440"/>
          </w:tcPr>
          <w:p>
            <w:r>
              <w:rPr>
                <w:rFonts w:ascii="Calibri" w:hAnsi="Calibri"/>
                <w:sz w:val="22"/>
              </w:rPr>
              <w:t>Option Exercise (Conversion)</w:t>
            </w:r>
          </w:p>
        </w:tc>
        <w:tc>
          <w:tcPr>
            <w:tcW w:type="dxa" w:w="1440"/>
          </w:tcPr>
          <w:p>
            <w:r>
              <w:rPr>
                <w:rFonts w:ascii="Calibri" w:hAnsi="Calibri"/>
                <w:sz w:val="22"/>
              </w:rPr>
              <w:t>397,744</w:t>
            </w:r>
          </w:p>
        </w:tc>
        <w:tc>
          <w:tcPr>
            <w:tcW w:type="dxa" w:w="1440"/>
          </w:tcPr>
          <w:p>
            <w:r>
              <w:rPr>
                <w:rFonts w:ascii="Calibri" w:hAnsi="Calibri"/>
                <w:sz w:val="22"/>
              </w:rPr>
              <w:t>May 20, 2026</w:t>
            </w:r>
          </w:p>
        </w:tc>
        <w:tc>
          <w:tcPr>
            <w:tcW w:type="dxa" w:w="1440"/>
          </w:tcPr>
          <w:p>
            <w:r>
              <w:rPr>
                <w:rFonts w:ascii="Calibri" w:hAnsi="Calibri"/>
                <w:sz w:val="22"/>
              </w:rPr>
              <w:t>10b5-1 plan; option-to-share conversion, not an open-market sale</w:t>
            </w:r>
          </w:p>
        </w:tc>
      </w:tr>
      <w:tr>
        <w:tc>
          <w:tcPr>
            <w:tcW w:type="dxa" w:w="1440"/>
          </w:tcPr>
          <w:p>
            <w:r>
              <w:rPr>
                <w:rFonts w:ascii="Calibri" w:hAnsi="Calibri"/>
                <w:sz w:val="22"/>
              </w:rPr>
              <w:t>Moore, Alexander D.</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16,000</w:t>
            </w:r>
          </w:p>
        </w:tc>
        <w:tc>
          <w:tcPr>
            <w:tcW w:type="dxa" w:w="1440"/>
          </w:tcPr>
          <w:p>
            <w:r>
              <w:rPr>
                <w:rFonts w:ascii="Calibri" w:hAnsi="Calibri"/>
                <w:sz w:val="22"/>
              </w:rPr>
              <w:t>May 15, 2026</w:t>
            </w:r>
          </w:p>
        </w:tc>
        <w:tc>
          <w:tcPr>
            <w:tcW w:type="dxa" w:w="1440"/>
          </w:tcPr>
          <w:p>
            <w:r>
              <w:rPr>
                <w:rFonts w:ascii="Calibri" w:hAnsi="Calibri"/>
                <w:sz w:val="22"/>
              </w:rPr>
              <w:t>10b5-1 planned sale; consistent monthly cadence</w:t>
            </w:r>
          </w:p>
        </w:tc>
      </w:tr>
    </w:tbl>
    <w:p>
      <w:r>
        <w:rPr>
          <w:rFonts w:ascii="Calibri" w:hAnsi="Calibri"/>
          <w:i/>
          <w:color w:val="525866"/>
          <w:sz w:val="22"/>
        </w:rPr>
        <w:t>Source: Insider Transaction Data (SEC Form 4 filings). All transactions shown are from May 4, 2026 through August 2, 2026.</w:t>
      </w:r>
    </w:p>
    <w:p>
      <w:r>
        <w:rPr>
          <w:rFonts w:ascii="Calibri" w:hAnsi="Calibri"/>
          <w:b/>
          <w:color w:val="525866"/>
          <w:sz w:val="22"/>
        </w:rPr>
        <w:t xml:space="preserve">Assessment: </w:t>
      </w:r>
      <w:r>
        <w:rPr>
          <w:rFonts w:ascii="Calibri" w:hAnsi="Calibri"/>
          <w:color w:val="525866"/>
          <w:sz w:val="22"/>
        </w:rPr>
        <w:t>The insider transaction picture is benign. Director Alexander Moore has been selling 16,000 shares per month on a consistent 10b5-1 schedule — a pre-planned, mechanical program with no informational content. Executive sales by Sankar, Glazer, Taylor, and Buckley are similarly 10b5-1 plan-driven. CEO Karp’s large transaction was an option exercise/conversion, not a discretionary open-market sale. There are no open-market buys, no unusual clustering of discretionary sales, and no 10b5-1 plan initiations (which would be a more meaningful signal). The absence of any insider buying at the current ~$123 price level (vs. the $146 post-earnings price) is notable but not alarming given the 10b5-1 plan structure.</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