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Palantir Technologies (PLTR)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Palantir Technologies Inc.</w:t>
            </w:r>
          </w:p>
        </w:tc>
      </w:tr>
      <w:tr>
        <w:tc>
          <w:tcPr>
            <w:tcW w:type="dxa" w:w="4320"/>
          </w:tcPr>
          <w:p>
            <w:r>
              <w:rPr>
                <w:rFonts w:ascii="Calibri" w:hAnsi="Calibri"/>
                <w:b/>
                <w:sz w:val="22"/>
              </w:rPr>
              <w:t>Ticker</w:t>
            </w:r>
          </w:p>
        </w:tc>
        <w:tc>
          <w:tcPr>
            <w:tcW w:type="dxa" w:w="4320"/>
          </w:tcPr>
          <w:p>
            <w:r>
              <w:rPr>
                <w:rFonts w:ascii="Calibri" w:hAnsi="Calibri"/>
                <w:sz w:val="22"/>
              </w:rPr>
              <w:t>PLTR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3, 2026 — After Market Close (5:00 PM ET Webcast)</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Primary Valuation Metric</w:t>
            </w:r>
          </w:p>
        </w:tc>
        <w:tc>
          <w:tcPr>
            <w:tcW w:type="dxa" w:w="4320"/>
          </w:tcPr>
          <w:p>
            <w:r>
              <w:rPr>
                <w:rFonts w:ascii="Calibri" w:hAnsi="Calibri"/>
                <w:sz w:val="22"/>
              </w:rPr>
              <w:t>NTM EV/Sales (~29x) | NTM P/E (~65x)</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a high bar with meaningful upside risk — </w:t>
      </w:r>
      <w:r>
        <w:rPr>
          <w:rFonts w:ascii="Calibri" w:hAnsi="Calibri"/>
          <w:b/>
          <w:color w:val="525866"/>
          <w:sz w:val="22"/>
        </w:rPr>
        <w:t>U.S. Commercial revenue</w:t>
      </w:r>
      <w:r>
        <w:rPr>
          <w:rFonts w:ascii="Calibri" w:hAnsi="Calibri"/>
          <w:color w:val="525866"/>
          <w:sz w:val="22"/>
        </w:rPr>
        <w:t xml:space="preserve"> is the single biggest swing factor, and consensus at $718M implies ~135% YoY growth against management's own 120%+ full-year guide, leaving room for another beat-and-raise if enterprise AI demand continues to accelerate.</w:t>
      </w:r>
    </w:p>
    <w:p>
      <w:r>
        <w:rPr>
          <w:rFonts w:ascii="Calibri" w:hAnsi="Calibri"/>
          <w:color w:val="525866"/>
          <w:sz w:val="22"/>
        </w:rPr>
        <w:t xml:space="preserve">Palantir heads into Q2 2026 earnings on August 3 with the Street expecting revenue of ~$1.81B (+80% YoY), adjusted operating income of ~$1.08B (60% margin), and adjusted EPS of ~$0.35 (+117% YoY) — a high bar by any historical standard, yet one the company has consistently cleared and raised. Management's posture coming out of Q1 was the most confident in the company's public history: the largest-ever full-year guidance raise (+10 points to 71% growth), U.S. Commercial guided to 120%+ growth, and CEO Alex Karp framing demand as "once in a lifetime" — a tone that has not softened in the intervening quarter. Estimate revisions have tracked guidance closely, with consensus revenue for Q2 moving from $1.813B (post-Q1 baseline) to $1.814B today — essentially flat, suggesting the Street has already absorbed the guidance raise and is not pricing in incremental upside. The stock has given back ~16% since the Q1 print (May 4 close of $146.03 vs. ~$123 today), driven almost entirely by multiple compression (NTM EV/Sales contracted from ~57x to ~29x over six months) rather than estimate cuts, creating a more attractive entry point but also signaling that the market is demanding proof of sustained execution at these growth rates. The key wildcard is whether the </w:t>
      </w:r>
      <w:r>
        <w:rPr>
          <w:rFonts w:ascii="Calibri" w:hAnsi="Calibri"/>
          <w:b/>
          <w:color w:val="525866"/>
          <w:sz w:val="22"/>
        </w:rPr>
        <w:t>U.S. Government segment</w:t>
      </w:r>
      <w:r>
        <w:rPr>
          <w:rFonts w:ascii="Calibri" w:hAnsi="Calibri"/>
          <w:color w:val="525866"/>
          <w:sz w:val="22"/>
        </w:rPr>
        <w:t xml:space="preserve"> can sustain its Q1 acceleration (+84% YoY) alongside continued U.S. Commercial strength — any evidence of a customer program reclassification (as occurred in Q1, which understated commercial growth) or a new large government award could be the catalyst that re-rates the stock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high bar on an absolute basis, but Palantir has beaten every quarter for 11 consecutive quarters; </w:t>
      </w:r>
      <w:r>
        <w:rPr>
          <w:rFonts w:ascii="Calibri" w:hAnsi="Calibri"/>
          <w:b/>
          <w:color w:val="525866"/>
          <w:sz w:val="22"/>
        </w:rPr>
        <w:t>U.S. Commercial revenue</w:t>
      </w:r>
      <w:r>
        <w:rPr>
          <w:rFonts w:ascii="Calibri" w:hAnsi="Calibri"/>
          <w:color w:val="525866"/>
          <w:sz w:val="22"/>
        </w:rPr>
        <w:t xml:space="preserve"> is the bigger swing factor — any acceleration above the guided 120%+ growth rate would be the most meaningful upside signal.</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$1,632.6</w:t>
            </w:r>
          </w:p>
        </w:tc>
        <w:tc>
          <w:tcPr>
            <w:tcW w:type="dxa" w:w="1234"/>
          </w:tcPr>
          <w:p>
            <w:r>
              <w:rPr>
                <w:rFonts w:ascii="Calibri" w:hAnsi="Calibri"/>
                <w:sz w:val="22"/>
              </w:rPr>
              <w:t>$1,003.7</w:t>
            </w:r>
          </w:p>
        </w:tc>
        <w:tc>
          <w:tcPr>
            <w:tcW w:type="dxa" w:w="1234"/>
          </w:tcPr>
          <w:p>
            <w:r>
              <w:rPr>
                <w:rFonts w:ascii="Calibri" w:hAnsi="Calibri"/>
                <w:sz w:val="22"/>
              </w:rPr>
              <w:t>$1,814.3</w:t>
            </w:r>
          </w:p>
        </w:tc>
        <w:tc>
          <w:tcPr>
            <w:tcW w:type="dxa" w:w="1234"/>
          </w:tcPr>
          <w:p>
            <w:r>
              <w:rPr>
                <w:rFonts w:ascii="Calibri" w:hAnsi="Calibri"/>
                <w:sz w:val="22"/>
              </w:rPr>
              <w:t>+80.8% YoY</w:t>
            </w:r>
          </w:p>
        </w:tc>
        <w:tc>
          <w:tcPr>
            <w:tcW w:type="dxa" w:w="1234"/>
          </w:tcPr>
          <w:p>
            <w:r>
              <w:rPr>
                <w:rFonts w:ascii="Calibri" w:hAnsi="Calibri"/>
                <w:sz w:val="22"/>
              </w:rPr>
              <w:t>$1,797–$1,801M (mid: $1,799M)</w:t>
            </w:r>
          </w:p>
        </w:tc>
        <w:tc>
          <w:tcPr>
            <w:tcW w:type="dxa" w:w="1234"/>
          </w:tcPr>
          <w:p>
            <w:r>
              <w:rPr>
                <w:rFonts w:ascii="Calibri" w:hAnsi="Calibri"/>
                <w:sz w:val="22"/>
              </w:rPr>
              <w:t>+0.9% above mid</w:t>
            </w:r>
          </w:p>
        </w:tc>
      </w:tr>
      <w:tr>
        <w:tc>
          <w:tcPr>
            <w:tcW w:type="dxa" w:w="1234"/>
          </w:tcPr>
          <w:p>
            <w:r>
              <w:rPr>
                <w:rFonts w:ascii="Calibri" w:hAnsi="Calibri"/>
                <w:sz w:val="22"/>
              </w:rPr>
              <w:t>U.S. Commercial Revenue ($M)</w:t>
            </w:r>
          </w:p>
        </w:tc>
        <w:tc>
          <w:tcPr>
            <w:tcW w:type="dxa" w:w="1234"/>
          </w:tcPr>
          <w:p>
            <w:r>
              <w:rPr>
                <w:rFonts w:ascii="Calibri" w:hAnsi="Calibri"/>
                <w:sz w:val="22"/>
              </w:rPr>
              <w:t>$595.0</w:t>
            </w:r>
          </w:p>
        </w:tc>
        <w:tc>
          <w:tcPr>
            <w:tcW w:type="dxa" w:w="1234"/>
          </w:tcPr>
          <w:p>
            <w:r>
              <w:rPr>
                <w:rFonts w:ascii="Calibri" w:hAnsi="Calibri"/>
                <w:sz w:val="22"/>
              </w:rPr>
              <w:t>$306.0</w:t>
            </w:r>
          </w:p>
        </w:tc>
        <w:tc>
          <w:tcPr>
            <w:tcW w:type="dxa" w:w="1234"/>
          </w:tcPr>
          <w:p>
            <w:r>
              <w:rPr>
                <w:rFonts w:ascii="Calibri" w:hAnsi="Calibri"/>
                <w:sz w:val="22"/>
              </w:rPr>
              <w:t>$717.9</w:t>
            </w:r>
          </w:p>
        </w:tc>
        <w:tc>
          <w:tcPr>
            <w:tcW w:type="dxa" w:w="1234"/>
          </w:tcPr>
          <w:p>
            <w:r>
              <w:rPr>
                <w:rFonts w:ascii="Calibri" w:hAnsi="Calibri"/>
                <w:sz w:val="22"/>
              </w:rPr>
              <w:t>+134.6% YoY</w:t>
            </w:r>
          </w:p>
        </w:tc>
        <w:tc>
          <w:tcPr>
            <w:tcW w:type="dxa" w:w="1234"/>
          </w:tcPr>
          <w:p>
            <w:r>
              <w:rPr>
                <w:rFonts w:ascii="Calibri" w:hAnsi="Calibri"/>
                <w:sz w:val="22"/>
              </w:rPr>
              <w:t>&gt;$3,224M FY (120%+ growth)</w:t>
            </w:r>
          </w:p>
        </w:tc>
        <w:tc>
          <w:tcPr>
            <w:tcW w:type="dxa" w:w="1234"/>
          </w:tcPr>
          <w:p>
            <w:r>
              <w:rPr>
                <w:rFonts w:ascii="Calibri" w:hAnsi="Calibri"/>
                <w:sz w:val="22"/>
              </w:rPr>
              <w:t>Tracking above FY run-rate</w:t>
            </w:r>
          </w:p>
        </w:tc>
      </w:tr>
      <w:tr>
        <w:tc>
          <w:tcPr>
            <w:tcW w:type="dxa" w:w="1234"/>
          </w:tcPr>
          <w:p>
            <w:r>
              <w:rPr>
                <w:rFonts w:ascii="Calibri" w:hAnsi="Calibri"/>
                <w:sz w:val="22"/>
              </w:rPr>
              <w:t>Adj. Operating Income ($M)</w:t>
            </w:r>
          </w:p>
        </w:tc>
        <w:tc>
          <w:tcPr>
            <w:tcW w:type="dxa" w:w="1234"/>
          </w:tcPr>
          <w:p>
            <w:r>
              <w:rPr>
                <w:rFonts w:ascii="Calibri" w:hAnsi="Calibri"/>
                <w:sz w:val="22"/>
              </w:rPr>
              <w:t>$983.5</w:t>
            </w:r>
          </w:p>
        </w:tc>
        <w:tc>
          <w:tcPr>
            <w:tcW w:type="dxa" w:w="1234"/>
          </w:tcPr>
          <w:p>
            <w:r>
              <w:rPr>
                <w:rFonts w:ascii="Calibri" w:hAnsi="Calibri"/>
                <w:sz w:val="22"/>
              </w:rPr>
              <w:t>$464.4</w:t>
            </w:r>
          </w:p>
        </w:tc>
        <w:tc>
          <w:tcPr>
            <w:tcW w:type="dxa" w:w="1234"/>
          </w:tcPr>
          <w:p>
            <w:r>
              <w:rPr>
                <w:rFonts w:ascii="Calibri" w:hAnsi="Calibri"/>
                <w:sz w:val="22"/>
              </w:rPr>
              <w:t>$1,082.4</w:t>
            </w:r>
          </w:p>
        </w:tc>
        <w:tc>
          <w:tcPr>
            <w:tcW w:type="dxa" w:w="1234"/>
          </w:tcPr>
          <w:p>
            <w:r>
              <w:rPr>
                <w:rFonts w:ascii="Calibri" w:hAnsi="Calibri"/>
                <w:sz w:val="22"/>
              </w:rPr>
              <w:t>+133.0% YoY</w:t>
            </w:r>
          </w:p>
        </w:tc>
        <w:tc>
          <w:tcPr>
            <w:tcW w:type="dxa" w:w="1234"/>
          </w:tcPr>
          <w:p>
            <w:r>
              <w:rPr>
                <w:rFonts w:ascii="Calibri" w:hAnsi="Calibri"/>
                <w:sz w:val="22"/>
              </w:rPr>
              <w:t>$1,063–$1,067M (mid: $1,065M)</w:t>
            </w:r>
          </w:p>
        </w:tc>
        <w:tc>
          <w:tcPr>
            <w:tcW w:type="dxa" w:w="1234"/>
          </w:tcPr>
          <w:p>
            <w:r>
              <w:rPr>
                <w:rFonts w:ascii="Calibri" w:hAnsi="Calibri"/>
                <w:sz w:val="22"/>
              </w:rPr>
              <w:t>+1.6% above mid</w:t>
            </w:r>
          </w:p>
        </w:tc>
      </w:tr>
      <w:tr>
        <w:tc>
          <w:tcPr>
            <w:tcW w:type="dxa" w:w="1234"/>
          </w:tcPr>
          <w:p>
            <w:r>
              <w:rPr>
                <w:rFonts w:ascii="Calibri" w:hAnsi="Calibri"/>
                <w:sz w:val="22"/>
              </w:rPr>
              <w:t>Adj. Operating Margin (%)</w:t>
            </w:r>
          </w:p>
        </w:tc>
        <w:tc>
          <w:tcPr>
            <w:tcW w:type="dxa" w:w="1234"/>
          </w:tcPr>
          <w:p>
            <w:r>
              <w:rPr>
                <w:rFonts w:ascii="Calibri" w:hAnsi="Calibri"/>
                <w:sz w:val="22"/>
              </w:rPr>
              <w:t>60.2%</w:t>
            </w:r>
          </w:p>
        </w:tc>
        <w:tc>
          <w:tcPr>
            <w:tcW w:type="dxa" w:w="1234"/>
          </w:tcPr>
          <w:p>
            <w:r>
              <w:rPr>
                <w:rFonts w:ascii="Calibri" w:hAnsi="Calibri"/>
                <w:sz w:val="22"/>
              </w:rPr>
              <w:t>46.3%</w:t>
            </w:r>
          </w:p>
        </w:tc>
        <w:tc>
          <w:tcPr>
            <w:tcW w:type="dxa" w:w="1234"/>
          </w:tcPr>
          <w:p>
            <w:r>
              <w:rPr>
                <w:rFonts w:ascii="Calibri" w:hAnsi="Calibri"/>
                <w:sz w:val="22"/>
              </w:rPr>
              <w:t>~59.7%</w:t>
            </w:r>
          </w:p>
        </w:tc>
        <w:tc>
          <w:tcPr>
            <w:tcW w:type="dxa" w:w="1234"/>
          </w:tcPr>
          <w:p>
            <w:r>
              <w:rPr>
                <w:rFonts w:ascii="Calibri" w:hAnsi="Calibri"/>
                <w:sz w:val="22"/>
              </w:rPr>
              <w:t>+1,340 bps YoY</w:t>
            </w:r>
          </w:p>
        </w:tc>
        <w:tc>
          <w:tcPr>
            <w:tcW w:type="dxa" w:w="1234"/>
          </w:tcPr>
          <w:p>
            <w:r>
              <w:rPr>
                <w:rFonts w:ascii="Calibri" w:hAnsi="Calibri"/>
                <w:sz w:val="22"/>
              </w:rPr>
              <w:t>Implied ~59.2% at guidance mid</w:t>
            </w:r>
          </w:p>
        </w:tc>
        <w:tc>
          <w:tcPr>
            <w:tcW w:type="dxa" w:w="1234"/>
          </w:tcPr>
          <w:p>
            <w:r>
              <w:rPr>
                <w:rFonts w:ascii="Calibri" w:hAnsi="Calibri"/>
                <w:sz w:val="22"/>
              </w:rPr>
              <w:t>~+50 bps above guidance</w:t>
            </w:r>
          </w:p>
        </w:tc>
      </w:tr>
      <w:tr>
        <w:tc>
          <w:tcPr>
            <w:tcW w:type="dxa" w:w="1234"/>
          </w:tcPr>
          <w:p>
            <w:r>
              <w:rPr>
                <w:rFonts w:ascii="Calibri" w:hAnsi="Calibri"/>
                <w:sz w:val="22"/>
              </w:rPr>
              <w:t>Adj. EPS — Diluted ($)</w:t>
            </w:r>
          </w:p>
        </w:tc>
        <w:tc>
          <w:tcPr>
            <w:tcW w:type="dxa" w:w="1234"/>
          </w:tcPr>
          <w:p>
            <w:r>
              <w:rPr>
                <w:rFonts w:ascii="Calibri" w:hAnsi="Calibri"/>
                <w:sz w:val="22"/>
              </w:rPr>
              <w:t>$0.33</w:t>
            </w:r>
          </w:p>
        </w:tc>
        <w:tc>
          <w:tcPr>
            <w:tcW w:type="dxa" w:w="1234"/>
          </w:tcPr>
          <w:p>
            <w:r>
              <w:rPr>
                <w:rFonts w:ascii="Calibri" w:hAnsi="Calibri"/>
                <w:sz w:val="22"/>
              </w:rPr>
              <w:t>$0.16</w:t>
            </w:r>
          </w:p>
        </w:tc>
        <w:tc>
          <w:tcPr>
            <w:tcW w:type="dxa" w:w="1234"/>
          </w:tcPr>
          <w:p>
            <w:r>
              <w:rPr>
                <w:rFonts w:ascii="Calibri" w:hAnsi="Calibri"/>
                <w:sz w:val="22"/>
              </w:rPr>
              <w:t>$0.351</w:t>
            </w:r>
          </w:p>
        </w:tc>
        <w:tc>
          <w:tcPr>
            <w:tcW w:type="dxa" w:w="1234"/>
          </w:tcPr>
          <w:p>
            <w:r>
              <w:rPr>
                <w:rFonts w:ascii="Calibri" w:hAnsi="Calibri"/>
                <w:sz w:val="22"/>
              </w:rPr>
              <w:t>+119.4% YoY</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$891.8</w:t>
            </w:r>
          </w:p>
        </w:tc>
        <w:tc>
          <w:tcPr>
            <w:tcW w:type="dxa" w:w="1234"/>
          </w:tcPr>
          <w:p>
            <w:r>
              <w:rPr>
                <w:rFonts w:ascii="Calibri" w:hAnsi="Calibri"/>
                <w:sz w:val="22"/>
              </w:rPr>
              <w:t>$531.6</w:t>
            </w:r>
          </w:p>
        </w:tc>
        <w:tc>
          <w:tcPr>
            <w:tcW w:type="dxa" w:w="1234"/>
          </w:tcPr>
          <w:p>
            <w:r>
              <w:rPr>
                <w:rFonts w:ascii="Calibri" w:hAnsi="Calibri"/>
                <w:sz w:val="22"/>
              </w:rPr>
              <w:t>$1,079.3</w:t>
            </w:r>
          </w:p>
        </w:tc>
        <w:tc>
          <w:tcPr>
            <w:tcW w:type="dxa" w:w="1234"/>
          </w:tcPr>
          <w:p>
            <w:r>
              <w:rPr>
                <w:rFonts w:ascii="Calibri" w:hAnsi="Calibri"/>
                <w:sz w:val="22"/>
              </w:rPr>
              <w:t>+103.0% YoY</w:t>
            </w:r>
          </w:p>
        </w:tc>
        <w:tc>
          <w:tcPr>
            <w:tcW w:type="dxa" w:w="1234"/>
          </w:tcPr>
          <w:p>
            <w:r>
              <w:rPr>
                <w:rFonts w:ascii="Calibri" w:hAnsi="Calibri"/>
                <w:sz w:val="22"/>
              </w:rPr>
              <w:t>FY: $4.2–$4.4B</w:t>
            </w:r>
          </w:p>
        </w:tc>
        <w:tc>
          <w:tcPr>
            <w:tcW w:type="dxa" w:w="1234"/>
          </w:tcPr>
          <w:p>
            <w:r>
              <w:rPr>
                <w:rFonts w:ascii="Calibri" w:hAnsi="Calibri"/>
                <w:sz w:val="22"/>
              </w:rPr>
              <w:t>Tracking within FY range</w:t>
            </w:r>
          </w:p>
        </w:tc>
      </w:tr>
    </w:tbl>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$678.1</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$725.5</w:t>
            </w:r>
          </w:p>
        </w:tc>
        <w:tc>
          <w:tcPr>
            <w:tcW w:type="dxa" w:w="1728"/>
          </w:tcPr>
          <w:p>
            <w:r>
              <w:rPr>
                <w:rFonts w:ascii="Calibri" w:hAnsi="Calibri"/>
                <w:sz w:val="22"/>
              </w:rPr>
              <w:t>$704.9</w:t>
            </w:r>
          </w:p>
        </w:tc>
        <w:tc>
          <w:tcPr>
            <w:tcW w:type="dxa" w:w="1728"/>
          </w:tcPr>
          <w:p>
            <w:r>
              <w:rPr>
                <w:rFonts w:ascii="Calibri" w:hAnsi="Calibri"/>
                <w:b/>
                <w:color w:val="30A46C"/>
                <w:sz w:val="22"/>
              </w:rPr>
              <w:t>+2.9%</w:t>
            </w:r>
          </w:p>
        </w:tc>
        <w:tc>
          <w:tcPr>
            <w:tcW w:type="dxa" w:w="1728"/>
          </w:tcPr>
          <w:p>
            <w:r>
              <w:rPr>
                <w:rFonts w:ascii="Calibri" w:hAnsi="Calibri"/>
                <w:sz w:val="22"/>
              </w:rPr>
              <w:t>✅ Beat</w:t>
            </w:r>
          </w:p>
        </w:tc>
      </w:tr>
      <w:tr>
        <w:tc>
          <w:tcPr>
            <w:tcW w:type="dxa" w:w="1728"/>
          </w:tcPr>
          <w:p>
            <w:r>
              <w:rPr>
                <w:rFonts w:ascii="Calibri" w:hAnsi="Calibri"/>
                <w:sz w:val="22"/>
              </w:rPr>
              <w:t>Q4 2024</w:t>
            </w:r>
          </w:p>
        </w:tc>
        <w:tc>
          <w:tcPr>
            <w:tcW w:type="dxa" w:w="1728"/>
          </w:tcPr>
          <w:p>
            <w:r>
              <w:rPr>
                <w:rFonts w:ascii="Calibri" w:hAnsi="Calibri"/>
                <w:sz w:val="22"/>
              </w:rPr>
              <w:t>$827.5</w:t>
            </w:r>
          </w:p>
        </w:tc>
        <w:tc>
          <w:tcPr>
            <w:tcW w:type="dxa" w:w="1728"/>
          </w:tcPr>
          <w:p>
            <w:r>
              <w:rPr>
                <w:rFonts w:ascii="Calibri" w:hAnsi="Calibri"/>
                <w:sz w:val="22"/>
              </w:rPr>
              <w:t>$776.2</w:t>
            </w:r>
          </w:p>
        </w:tc>
        <w:tc>
          <w:tcPr>
            <w:tcW w:type="dxa" w:w="1728"/>
          </w:tcPr>
          <w:p>
            <w:r>
              <w:rPr>
                <w:rFonts w:ascii="Calibri" w:hAnsi="Calibri"/>
                <w:b/>
                <w:color w:val="30A46C"/>
                <w:sz w:val="22"/>
              </w:rPr>
              <w:t>+6.6%</w:t>
            </w:r>
          </w:p>
        </w:tc>
        <w:tc>
          <w:tcPr>
            <w:tcW w:type="dxa" w:w="1728"/>
          </w:tcPr>
          <w:p>
            <w:r>
              <w:rPr>
                <w:rFonts w:ascii="Calibri" w:hAnsi="Calibri"/>
                <w:sz w:val="22"/>
              </w:rPr>
              <w:t>✅ Beat</w:t>
            </w:r>
          </w:p>
        </w:tc>
      </w:tr>
      <w:tr>
        <w:tc>
          <w:tcPr>
            <w:tcW w:type="dxa" w:w="1728"/>
          </w:tcPr>
          <w:p>
            <w:r>
              <w:rPr>
                <w:rFonts w:ascii="Calibri" w:hAnsi="Calibri"/>
                <w:sz w:val="22"/>
              </w:rPr>
              <w:t>Q1 2025</w:t>
            </w:r>
          </w:p>
        </w:tc>
        <w:tc>
          <w:tcPr>
            <w:tcW w:type="dxa" w:w="1728"/>
          </w:tcPr>
          <w:p>
            <w:r>
              <w:rPr>
                <w:rFonts w:ascii="Calibri" w:hAnsi="Calibri"/>
                <w:sz w:val="22"/>
              </w:rPr>
              <w:t>$883.9</w:t>
            </w:r>
          </w:p>
        </w:tc>
        <w:tc>
          <w:tcPr>
            <w:tcW w:type="dxa" w:w="1728"/>
          </w:tcPr>
          <w:p>
            <w:r>
              <w:rPr>
                <w:rFonts w:ascii="Calibri" w:hAnsi="Calibri"/>
                <w:sz w:val="22"/>
              </w:rPr>
              <w:t>$862.3</w:t>
            </w:r>
          </w:p>
        </w:tc>
        <w:tc>
          <w:tcPr>
            <w:tcW w:type="dxa" w:w="1728"/>
          </w:tcPr>
          <w:p>
            <w:r>
              <w:rPr>
                <w:rFonts w:ascii="Calibri" w:hAnsi="Calibri"/>
                <w:b/>
                <w:color w:val="30A46C"/>
                <w:sz w:val="22"/>
              </w:rPr>
              <w:t>+2.5%</w:t>
            </w:r>
          </w:p>
        </w:tc>
        <w:tc>
          <w:tcPr>
            <w:tcW w:type="dxa" w:w="1728"/>
          </w:tcPr>
          <w:p>
            <w:r>
              <w:rPr>
                <w:rFonts w:ascii="Calibri" w:hAnsi="Calibri"/>
                <w:sz w:val="22"/>
              </w:rPr>
              <w:t>✅ Beat</w:t>
            </w:r>
          </w:p>
        </w:tc>
      </w:tr>
      <w:tr>
        <w:tc>
          <w:tcPr>
            <w:tcW w:type="dxa" w:w="1728"/>
          </w:tcPr>
          <w:p>
            <w:r>
              <w:rPr>
                <w:rFonts w:ascii="Calibri" w:hAnsi="Calibri"/>
                <w:sz w:val="22"/>
              </w:rPr>
              <w:t>Q2 2025</w:t>
            </w:r>
          </w:p>
        </w:tc>
        <w:tc>
          <w:tcPr>
            <w:tcW w:type="dxa" w:w="1728"/>
          </w:tcPr>
          <w:p>
            <w:r>
              <w:rPr>
                <w:rFonts w:ascii="Calibri" w:hAnsi="Calibri"/>
                <w:sz w:val="22"/>
              </w:rPr>
              <w:t>$1,003.7</w:t>
            </w:r>
          </w:p>
        </w:tc>
        <w:tc>
          <w:tcPr>
            <w:tcW w:type="dxa" w:w="1728"/>
          </w:tcPr>
          <w:p>
            <w:r>
              <w:rPr>
                <w:rFonts w:ascii="Calibri" w:hAnsi="Calibri"/>
                <w:sz w:val="22"/>
              </w:rPr>
              <w:t>$939.5</w:t>
            </w:r>
          </w:p>
        </w:tc>
        <w:tc>
          <w:tcPr>
            <w:tcW w:type="dxa" w:w="1728"/>
          </w:tcPr>
          <w:p>
            <w:r>
              <w:rPr>
                <w:rFonts w:ascii="Calibri" w:hAnsi="Calibri"/>
                <w:b/>
                <w:color w:val="30A46C"/>
                <w:sz w:val="22"/>
              </w:rPr>
              <w:t>+6.8%</w:t>
            </w:r>
          </w:p>
        </w:tc>
        <w:tc>
          <w:tcPr>
            <w:tcW w:type="dxa" w:w="1728"/>
          </w:tcPr>
          <w:p>
            <w:r>
              <w:rPr>
                <w:rFonts w:ascii="Calibri" w:hAnsi="Calibri"/>
                <w:sz w:val="22"/>
              </w:rPr>
              <w:t>✅ Beat</w:t>
            </w:r>
          </w:p>
        </w:tc>
      </w:tr>
      <w:tr>
        <w:tc>
          <w:tcPr>
            <w:tcW w:type="dxa" w:w="1728"/>
          </w:tcPr>
          <w:p>
            <w:r>
              <w:rPr>
                <w:rFonts w:ascii="Calibri" w:hAnsi="Calibri"/>
                <w:sz w:val="22"/>
              </w:rPr>
              <w:t>Q3 2025</w:t>
            </w:r>
          </w:p>
        </w:tc>
        <w:tc>
          <w:tcPr>
            <w:tcW w:type="dxa" w:w="1728"/>
          </w:tcPr>
          <w:p>
            <w:r>
              <w:rPr>
                <w:rFonts w:ascii="Calibri" w:hAnsi="Calibri"/>
                <w:sz w:val="22"/>
              </w:rPr>
              <w:t>$1,181.1</w:t>
            </w:r>
          </w:p>
        </w:tc>
        <w:tc>
          <w:tcPr>
            <w:tcW w:type="dxa" w:w="1728"/>
          </w:tcPr>
          <w:p>
            <w:r>
              <w:rPr>
                <w:rFonts w:ascii="Calibri" w:hAnsi="Calibri"/>
                <w:sz w:val="22"/>
              </w:rPr>
              <w:t>$1,093.1</w:t>
            </w:r>
          </w:p>
        </w:tc>
        <w:tc>
          <w:tcPr>
            <w:tcW w:type="dxa" w:w="1728"/>
          </w:tcPr>
          <w:p>
            <w:r>
              <w:rPr>
                <w:rFonts w:ascii="Calibri" w:hAnsi="Calibri"/>
                <w:b/>
                <w:color w:val="30A46C"/>
                <w:sz w:val="22"/>
              </w:rPr>
              <w:t>+8.1%</w:t>
            </w:r>
          </w:p>
        </w:tc>
        <w:tc>
          <w:tcPr>
            <w:tcW w:type="dxa" w:w="1728"/>
          </w:tcPr>
          <w:p>
            <w:r>
              <w:rPr>
                <w:rFonts w:ascii="Calibri" w:hAnsi="Calibri"/>
                <w:sz w:val="22"/>
              </w:rPr>
              <w:t>✅ Beat</w:t>
            </w:r>
          </w:p>
        </w:tc>
      </w:tr>
      <w:tr>
        <w:tc>
          <w:tcPr>
            <w:tcW w:type="dxa" w:w="1728"/>
          </w:tcPr>
          <w:p>
            <w:r>
              <w:rPr>
                <w:rFonts w:ascii="Calibri" w:hAnsi="Calibri"/>
                <w:sz w:val="22"/>
              </w:rPr>
              <w:t>Q4 2025</w:t>
            </w:r>
          </w:p>
        </w:tc>
        <w:tc>
          <w:tcPr>
            <w:tcW w:type="dxa" w:w="1728"/>
          </w:tcPr>
          <w:p>
            <w:r>
              <w:rPr>
                <w:rFonts w:ascii="Calibri" w:hAnsi="Calibri"/>
                <w:sz w:val="22"/>
              </w:rPr>
              <w:t>$1,406.8</w:t>
            </w:r>
          </w:p>
        </w:tc>
        <w:tc>
          <w:tcPr>
            <w:tcW w:type="dxa" w:w="1728"/>
          </w:tcPr>
          <w:p>
            <w:r>
              <w:rPr>
                <w:rFonts w:ascii="Calibri" w:hAnsi="Calibri"/>
                <w:sz w:val="22"/>
              </w:rPr>
              <w:t>$1,340.5</w:t>
            </w:r>
          </w:p>
        </w:tc>
        <w:tc>
          <w:tcPr>
            <w:tcW w:type="dxa" w:w="1728"/>
          </w:tcPr>
          <w:p>
            <w:r>
              <w:rPr>
                <w:rFonts w:ascii="Calibri" w:hAnsi="Calibri"/>
                <w:b/>
                <w:color w:val="30A46C"/>
                <w:sz w:val="22"/>
              </w:rPr>
              <w:t>+4.9%</w:t>
            </w:r>
          </w:p>
        </w:tc>
        <w:tc>
          <w:tcPr>
            <w:tcW w:type="dxa" w:w="1728"/>
          </w:tcPr>
          <w:p>
            <w:r>
              <w:rPr>
                <w:rFonts w:ascii="Calibri" w:hAnsi="Calibri"/>
                <w:sz w:val="22"/>
              </w:rPr>
              <w:t>✅ Beat</w:t>
            </w:r>
          </w:p>
        </w:tc>
      </w:tr>
      <w:tr>
        <w:tc>
          <w:tcPr>
            <w:tcW w:type="dxa" w:w="1728"/>
          </w:tcPr>
          <w:p>
            <w:r>
              <w:rPr>
                <w:rFonts w:ascii="Calibri" w:hAnsi="Calibri"/>
                <w:sz w:val="22"/>
              </w:rPr>
              <w:t>Q1 2026</w:t>
            </w:r>
          </w:p>
        </w:tc>
        <w:tc>
          <w:tcPr>
            <w:tcW w:type="dxa" w:w="1728"/>
          </w:tcPr>
          <w:p>
            <w:r>
              <w:rPr>
                <w:rFonts w:ascii="Calibri" w:hAnsi="Calibri"/>
                <w:sz w:val="22"/>
              </w:rPr>
              <w:t>$1,632.6</w:t>
            </w:r>
          </w:p>
        </w:tc>
        <w:tc>
          <w:tcPr>
            <w:tcW w:type="dxa" w:w="1728"/>
          </w:tcPr>
          <w:p>
            <w:r>
              <w:rPr>
                <w:rFonts w:ascii="Calibri" w:hAnsi="Calibri"/>
                <w:sz w:val="22"/>
              </w:rPr>
              <w:t>$1,539.2</w:t>
            </w:r>
          </w:p>
        </w:tc>
        <w:tc>
          <w:tcPr>
            <w:tcW w:type="dxa" w:w="1728"/>
          </w:tcPr>
          <w:p>
            <w:r>
              <w:rPr>
                <w:rFonts w:ascii="Calibri" w:hAnsi="Calibri"/>
                <w:b/>
                <w:color w:val="30A46C"/>
                <w:sz w:val="22"/>
              </w:rPr>
              <w:t>+6.1%</w:t>
            </w:r>
          </w:p>
        </w:tc>
        <w:tc>
          <w:tcPr>
            <w:tcW w:type="dxa" w:w="1728"/>
          </w:tcPr>
          <w:p>
            <w:r>
              <w:rPr>
                <w:rFonts w:ascii="Calibri" w:hAnsi="Calibri"/>
                <w:sz w:val="22"/>
              </w:rPr>
              <w:t>✅ Beat</w:t>
            </w:r>
          </w:p>
        </w:tc>
      </w:tr>
    </w:tbl>
    <w:p>
      <w:pPr>
        <w:pStyle w:val="Heading4"/>
      </w:pPr>
      <w:r>
        <w:rPr>
          <w:rFonts w:ascii="Calibri" w:hAnsi="Calibri"/>
          <w:b/>
          <w:color w:val="3B4259"/>
          <w:sz w:val="22"/>
        </w:rPr>
        <w:t>KPI 2: Adjusted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$0.10</w:t>
            </w:r>
          </w:p>
        </w:tc>
        <w:tc>
          <w:tcPr>
            <w:tcW w:type="dxa" w:w="1728"/>
          </w:tcPr>
          <w:p>
            <w:r>
              <w:rPr>
                <w:rFonts w:ascii="Calibri" w:hAnsi="Calibri"/>
                <w:sz w:val="22"/>
              </w:rPr>
              <w:t>$0.089</w:t>
            </w:r>
          </w:p>
        </w:tc>
        <w:tc>
          <w:tcPr>
            <w:tcW w:type="dxa" w:w="1728"/>
          </w:tcPr>
          <w:p>
            <w:r>
              <w:rPr>
                <w:rFonts w:ascii="Calibri" w:hAnsi="Calibri"/>
                <w:b/>
                <w:color w:val="30A46C"/>
                <w:sz w:val="22"/>
              </w:rPr>
              <w:t>+12.2%</w:t>
            </w:r>
          </w:p>
        </w:tc>
        <w:tc>
          <w:tcPr>
            <w:tcW w:type="dxa" w:w="1728"/>
          </w:tcPr>
          <w:p>
            <w:r>
              <w:rPr>
                <w:rFonts w:ascii="Calibri" w:hAnsi="Calibri"/>
                <w:sz w:val="22"/>
              </w:rPr>
              <w:t>✅ Beat</w:t>
            </w:r>
          </w:p>
        </w:tc>
      </w:tr>
      <w:tr>
        <w:tc>
          <w:tcPr>
            <w:tcW w:type="dxa" w:w="1728"/>
          </w:tcPr>
          <w:p>
            <w:r>
              <w:rPr>
                <w:rFonts w:ascii="Calibri" w:hAnsi="Calibri"/>
                <w:sz w:val="22"/>
              </w:rPr>
              <w:t>Q4 2024</w:t>
            </w:r>
          </w:p>
        </w:tc>
        <w:tc>
          <w:tcPr>
            <w:tcW w:type="dxa" w:w="1728"/>
          </w:tcPr>
          <w:p>
            <w:r>
              <w:rPr>
                <w:rFonts w:ascii="Calibri" w:hAnsi="Calibri"/>
                <w:sz w:val="22"/>
              </w:rPr>
              <w:t>$0.14</w:t>
            </w:r>
          </w:p>
        </w:tc>
        <w:tc>
          <w:tcPr>
            <w:tcW w:type="dxa" w:w="1728"/>
          </w:tcPr>
          <w:p>
            <w:r>
              <w:rPr>
                <w:rFonts w:ascii="Calibri" w:hAnsi="Calibri"/>
                <w:sz w:val="22"/>
              </w:rPr>
              <w:t>$0.111</w:t>
            </w:r>
          </w:p>
        </w:tc>
        <w:tc>
          <w:tcPr>
            <w:tcW w:type="dxa" w:w="1728"/>
          </w:tcPr>
          <w:p>
            <w:r>
              <w:rPr>
                <w:rFonts w:ascii="Calibri" w:hAnsi="Calibri"/>
                <w:b/>
                <w:color w:val="30A46C"/>
                <w:sz w:val="22"/>
              </w:rPr>
              <w:t>+26.1%</w:t>
            </w:r>
          </w:p>
        </w:tc>
        <w:tc>
          <w:tcPr>
            <w:tcW w:type="dxa" w:w="1728"/>
          </w:tcPr>
          <w:p>
            <w:r>
              <w:rPr>
                <w:rFonts w:ascii="Calibri" w:hAnsi="Calibri"/>
                <w:sz w:val="22"/>
              </w:rPr>
              <w:t>✅ Beat</w:t>
            </w:r>
          </w:p>
        </w:tc>
      </w:tr>
      <w:tr>
        <w:tc>
          <w:tcPr>
            <w:tcW w:type="dxa" w:w="1728"/>
          </w:tcPr>
          <w:p>
            <w:r>
              <w:rPr>
                <w:rFonts w:ascii="Calibri" w:hAnsi="Calibri"/>
                <w:sz w:val="22"/>
              </w:rPr>
              <w:t>Q1 2025</w:t>
            </w:r>
          </w:p>
        </w:tc>
        <w:tc>
          <w:tcPr>
            <w:tcW w:type="dxa" w:w="1728"/>
          </w:tcPr>
          <w:p>
            <w:r>
              <w:rPr>
                <w:rFonts w:ascii="Calibri" w:hAnsi="Calibri"/>
                <w:sz w:val="22"/>
              </w:rPr>
              <w:t>$0.13</w:t>
            </w:r>
          </w:p>
        </w:tc>
        <w:tc>
          <w:tcPr>
            <w:tcW w:type="dxa" w:w="1728"/>
          </w:tcPr>
          <w:p>
            <w:r>
              <w:rPr>
                <w:rFonts w:ascii="Calibri" w:hAnsi="Calibri"/>
                <w:sz w:val="22"/>
              </w:rPr>
              <w:t>$0.128</w:t>
            </w:r>
          </w:p>
        </w:tc>
        <w:tc>
          <w:tcPr>
            <w:tcW w:type="dxa" w:w="1728"/>
          </w:tcPr>
          <w:p>
            <w:r>
              <w:rPr>
                <w:rFonts w:ascii="Calibri" w:hAnsi="Calibri"/>
                <w:b/>
                <w:color w:val="30A46C"/>
                <w:sz w:val="22"/>
              </w:rPr>
              <w:t>+1.6%</w:t>
            </w:r>
          </w:p>
        </w:tc>
        <w:tc>
          <w:tcPr>
            <w:tcW w:type="dxa" w:w="1728"/>
          </w:tcPr>
          <w:p>
            <w:r>
              <w:rPr>
                <w:rFonts w:ascii="Calibri" w:hAnsi="Calibri"/>
                <w:sz w:val="22"/>
              </w:rPr>
              <w:t>✅ Beat</w:t>
            </w:r>
          </w:p>
        </w:tc>
      </w:tr>
      <w:tr>
        <w:tc>
          <w:tcPr>
            <w:tcW w:type="dxa" w:w="1728"/>
          </w:tcPr>
          <w:p>
            <w:r>
              <w:rPr>
                <w:rFonts w:ascii="Calibri" w:hAnsi="Calibri"/>
                <w:sz w:val="22"/>
              </w:rPr>
              <w:t>Q2 2025</w:t>
            </w:r>
          </w:p>
        </w:tc>
        <w:tc>
          <w:tcPr>
            <w:tcW w:type="dxa" w:w="1728"/>
          </w:tcPr>
          <w:p>
            <w:r>
              <w:rPr>
                <w:rFonts w:ascii="Calibri" w:hAnsi="Calibri"/>
                <w:sz w:val="22"/>
              </w:rPr>
              <w:t>$0.16</w:t>
            </w:r>
          </w:p>
        </w:tc>
        <w:tc>
          <w:tcPr>
            <w:tcW w:type="dxa" w:w="1728"/>
          </w:tcPr>
          <w:p>
            <w:r>
              <w:rPr>
                <w:rFonts w:ascii="Calibri" w:hAnsi="Calibri"/>
                <w:sz w:val="22"/>
              </w:rPr>
              <w:t>$0.137</w:t>
            </w:r>
          </w:p>
        </w:tc>
        <w:tc>
          <w:tcPr>
            <w:tcW w:type="dxa" w:w="1728"/>
          </w:tcPr>
          <w:p>
            <w:r>
              <w:rPr>
                <w:rFonts w:ascii="Calibri" w:hAnsi="Calibri"/>
                <w:b/>
                <w:color w:val="30A46C"/>
                <w:sz w:val="22"/>
              </w:rPr>
              <w:t>+16.8%</w:t>
            </w:r>
          </w:p>
        </w:tc>
        <w:tc>
          <w:tcPr>
            <w:tcW w:type="dxa" w:w="1728"/>
          </w:tcPr>
          <w:p>
            <w:r>
              <w:rPr>
                <w:rFonts w:ascii="Calibri" w:hAnsi="Calibri"/>
                <w:sz w:val="22"/>
              </w:rPr>
              <w:t>✅ Beat</w:t>
            </w:r>
          </w:p>
        </w:tc>
      </w:tr>
      <w:tr>
        <w:tc>
          <w:tcPr>
            <w:tcW w:type="dxa" w:w="1728"/>
          </w:tcPr>
          <w:p>
            <w:r>
              <w:rPr>
                <w:rFonts w:ascii="Calibri" w:hAnsi="Calibri"/>
                <w:sz w:val="22"/>
              </w:rPr>
              <w:t>Q3 2025</w:t>
            </w:r>
          </w:p>
        </w:tc>
        <w:tc>
          <w:tcPr>
            <w:tcW w:type="dxa" w:w="1728"/>
          </w:tcPr>
          <w:p>
            <w:r>
              <w:rPr>
                <w:rFonts w:ascii="Calibri" w:hAnsi="Calibri"/>
                <w:sz w:val="22"/>
              </w:rPr>
              <w:t>$0.21</w:t>
            </w:r>
          </w:p>
        </w:tc>
        <w:tc>
          <w:tcPr>
            <w:tcW w:type="dxa" w:w="1728"/>
          </w:tcPr>
          <w:p>
            <w:r>
              <w:rPr>
                <w:rFonts w:ascii="Calibri" w:hAnsi="Calibri"/>
                <w:sz w:val="22"/>
              </w:rPr>
              <w:t>$0.168</w:t>
            </w:r>
          </w:p>
        </w:tc>
        <w:tc>
          <w:tcPr>
            <w:tcW w:type="dxa" w:w="1728"/>
          </w:tcPr>
          <w:p>
            <w:r>
              <w:rPr>
                <w:rFonts w:ascii="Calibri" w:hAnsi="Calibri"/>
                <w:b/>
                <w:color w:val="30A46C"/>
                <w:sz w:val="22"/>
              </w:rPr>
              <w:t>+25.0%</w:t>
            </w:r>
          </w:p>
        </w:tc>
        <w:tc>
          <w:tcPr>
            <w:tcW w:type="dxa" w:w="1728"/>
          </w:tcPr>
          <w:p>
            <w:r>
              <w:rPr>
                <w:rFonts w:ascii="Calibri" w:hAnsi="Calibri"/>
                <w:sz w:val="22"/>
              </w:rPr>
              <w:t>✅ Beat</w:t>
            </w:r>
          </w:p>
        </w:tc>
      </w:tr>
      <w:tr>
        <w:tc>
          <w:tcPr>
            <w:tcW w:type="dxa" w:w="1728"/>
          </w:tcPr>
          <w:p>
            <w:r>
              <w:rPr>
                <w:rFonts w:ascii="Calibri" w:hAnsi="Calibri"/>
                <w:sz w:val="22"/>
              </w:rPr>
              <w:t>Q4 2025</w:t>
            </w:r>
          </w:p>
        </w:tc>
        <w:tc>
          <w:tcPr>
            <w:tcW w:type="dxa" w:w="1728"/>
          </w:tcPr>
          <w:p>
            <w:r>
              <w:rPr>
                <w:rFonts w:ascii="Calibri" w:hAnsi="Calibri"/>
                <w:sz w:val="22"/>
              </w:rPr>
              <w:t>$0.25</w:t>
            </w:r>
          </w:p>
        </w:tc>
        <w:tc>
          <w:tcPr>
            <w:tcW w:type="dxa" w:w="1728"/>
          </w:tcPr>
          <w:p>
            <w:r>
              <w:rPr>
                <w:rFonts w:ascii="Calibri" w:hAnsi="Calibri"/>
                <w:sz w:val="22"/>
              </w:rPr>
              <w:t>$0.230</w:t>
            </w:r>
          </w:p>
        </w:tc>
        <w:tc>
          <w:tcPr>
            <w:tcW w:type="dxa" w:w="1728"/>
          </w:tcPr>
          <w:p>
            <w:r>
              <w:rPr>
                <w:rFonts w:ascii="Calibri" w:hAnsi="Calibri"/>
                <w:b/>
                <w:color w:val="30A46C"/>
                <w:sz w:val="22"/>
              </w:rPr>
              <w:t>+8.7%</w:t>
            </w:r>
          </w:p>
        </w:tc>
        <w:tc>
          <w:tcPr>
            <w:tcW w:type="dxa" w:w="1728"/>
          </w:tcPr>
          <w:p>
            <w:r>
              <w:rPr>
                <w:rFonts w:ascii="Calibri" w:hAnsi="Calibri"/>
                <w:sz w:val="22"/>
              </w:rPr>
              <w:t>✅ Beat</w:t>
            </w:r>
          </w:p>
        </w:tc>
      </w:tr>
      <w:tr>
        <w:tc>
          <w:tcPr>
            <w:tcW w:type="dxa" w:w="1728"/>
          </w:tcPr>
          <w:p>
            <w:r>
              <w:rPr>
                <w:rFonts w:ascii="Calibri" w:hAnsi="Calibri"/>
                <w:sz w:val="22"/>
              </w:rPr>
              <w:t>Q1 2026</w:t>
            </w:r>
          </w:p>
        </w:tc>
        <w:tc>
          <w:tcPr>
            <w:tcW w:type="dxa" w:w="1728"/>
          </w:tcPr>
          <w:p>
            <w:r>
              <w:rPr>
                <w:rFonts w:ascii="Calibri" w:hAnsi="Calibri"/>
                <w:sz w:val="22"/>
              </w:rPr>
              <w:t>$0.33</w:t>
            </w:r>
          </w:p>
        </w:tc>
        <w:tc>
          <w:tcPr>
            <w:tcW w:type="dxa" w:w="1728"/>
          </w:tcPr>
          <w:p>
            <w:r>
              <w:rPr>
                <w:rFonts w:ascii="Calibri" w:hAnsi="Calibri"/>
                <w:sz w:val="22"/>
              </w:rPr>
              <w:t>$0.280</w:t>
            </w:r>
          </w:p>
        </w:tc>
        <w:tc>
          <w:tcPr>
            <w:tcW w:type="dxa" w:w="1728"/>
          </w:tcPr>
          <w:p>
            <w:r>
              <w:rPr>
                <w:rFonts w:ascii="Calibri" w:hAnsi="Calibri"/>
                <w:b/>
                <w:color w:val="30A46C"/>
                <w:sz w:val="22"/>
              </w:rPr>
              <w:t>+17.9%</w:t>
            </w:r>
          </w:p>
        </w:tc>
        <w:tc>
          <w:tcPr>
            <w:tcW w:type="dxa" w:w="1728"/>
          </w:tcPr>
          <w:p>
            <w:r>
              <w:rPr>
                <w:rFonts w:ascii="Calibri" w:hAnsi="Calibri"/>
                <w:sz w:val="22"/>
              </w:rPr>
              <w:t>✅ Beat</w:t>
            </w:r>
          </w:p>
        </w:tc>
      </w:tr>
    </w:tbl>
    <w:p>
      <w:r>
        <w:rPr>
          <w:rFonts w:ascii="Calibri" w:hAnsi="Calibri"/>
          <w:b/>
          <w:color w:val="525866"/>
          <w:sz w:val="22"/>
        </w:rPr>
        <w:t xml:space="preserve">Pattern: </w:t>
      </w:r>
      <w:r>
        <w:rPr>
          <w:rFonts w:ascii="Calibri" w:hAnsi="Calibri"/>
          <w:color w:val="525866"/>
          <w:sz w:val="22"/>
        </w:rPr>
        <w:t>PLTR has beaten revenue consensus in every quarter shown, with surprise magnitude accelerating from ~3% in Q3 2024 to ~6-8% in recent quarters. EPS beats have been even more consistent and larger in magnitude, averaging ~15% above consensus over the last 7 quarters, reflecting ongoing margin expansion that the Street has consistently underestimated.</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on May 4, 2026 — the baseline remains the largest-ever full-year raise in company history; </w:t>
      </w:r>
      <w:r>
        <w:rPr>
          <w:rFonts w:ascii="Calibri" w:hAnsi="Calibri"/>
          <w:b/>
          <w:color w:val="525866"/>
          <w:sz w:val="22"/>
        </w:rPr>
        <w:t>tone has remained highly confident</w:t>
      </w:r>
      <w:r>
        <w:rPr>
          <w:rFonts w:ascii="Calibri" w:hAnsi="Calibri"/>
          <w:color w:val="525866"/>
          <w:sz w:val="22"/>
        </w:rPr>
        <w:t xml:space="preserve"> through AIPCon 10 (June 4) and the Nvidia partnership announcement (June 29), with no cautionary signals.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$1,797M – $1,801M</w:t>
            </w:r>
          </w:p>
        </w:tc>
        <w:tc>
          <w:tcPr>
            <w:tcW w:type="dxa" w:w="1728"/>
          </w:tcPr>
          <w:p>
            <w:r>
              <w:rPr>
                <w:rFonts w:ascii="Calibri" w:hAnsi="Calibri"/>
                <w:sz w:val="22"/>
              </w:rPr>
              <w:t>—</w:t>
            </w:r>
          </w:p>
        </w:tc>
        <w:tc>
          <w:tcPr>
            <w:tcW w:type="dxa" w:w="1728"/>
          </w:tcPr>
          <w:p>
            <w:r>
              <w:rPr>
                <w:rFonts w:ascii="Calibri" w:hAnsi="Calibri"/>
                <w:sz w:val="22"/>
              </w:rPr>
              <w:t>$1,814M</w:t>
            </w:r>
          </w:p>
        </w:tc>
        <w:tc>
          <w:tcPr>
            <w:tcW w:type="dxa" w:w="1728"/>
          </w:tcPr>
          <w:p>
            <w:r>
              <w:rPr>
                <w:rFonts w:ascii="Calibri" w:hAnsi="Calibri"/>
                <w:sz w:val="22"/>
              </w:rPr>
              <w:t>No post-earnings revision; consensus +0.9% above guidance midpoint</w:t>
            </w:r>
          </w:p>
        </w:tc>
      </w:tr>
      <w:tr>
        <w:tc>
          <w:tcPr>
            <w:tcW w:type="dxa" w:w="1728"/>
          </w:tcPr>
          <w:p>
            <w:r>
              <w:rPr>
                <w:rFonts w:ascii="Calibri" w:hAnsi="Calibri"/>
                <w:sz w:val="22"/>
              </w:rPr>
              <w:t>Q2 2026 Adj. Operating Income</w:t>
            </w:r>
          </w:p>
        </w:tc>
        <w:tc>
          <w:tcPr>
            <w:tcW w:type="dxa" w:w="1728"/>
          </w:tcPr>
          <w:p>
            <w:r>
              <w:rPr>
                <w:rFonts w:ascii="Calibri" w:hAnsi="Calibri"/>
                <w:sz w:val="22"/>
              </w:rPr>
              <w:t>$1,063M – $1,067M</w:t>
            </w:r>
          </w:p>
        </w:tc>
        <w:tc>
          <w:tcPr>
            <w:tcW w:type="dxa" w:w="1728"/>
          </w:tcPr>
          <w:p>
            <w:r>
              <w:rPr>
                <w:rFonts w:ascii="Calibri" w:hAnsi="Calibri"/>
                <w:sz w:val="22"/>
              </w:rPr>
              <w:t>—</w:t>
            </w:r>
          </w:p>
        </w:tc>
        <w:tc>
          <w:tcPr>
            <w:tcW w:type="dxa" w:w="1728"/>
          </w:tcPr>
          <w:p>
            <w:r>
              <w:rPr>
                <w:rFonts w:ascii="Calibri" w:hAnsi="Calibri"/>
                <w:sz w:val="22"/>
              </w:rPr>
              <w:t>$1,082M</w:t>
            </w:r>
          </w:p>
        </w:tc>
        <w:tc>
          <w:tcPr>
            <w:tcW w:type="dxa" w:w="1728"/>
          </w:tcPr>
          <w:p>
            <w:r>
              <w:rPr>
                <w:rFonts w:ascii="Calibri" w:hAnsi="Calibri"/>
                <w:sz w:val="22"/>
              </w:rPr>
              <w:t>No post-earnings revision; consensus +1.6% above guidance midpoint</w:t>
            </w:r>
          </w:p>
        </w:tc>
      </w:tr>
      <w:tr>
        <w:tc>
          <w:tcPr>
            <w:tcW w:type="dxa" w:w="1728"/>
          </w:tcPr>
          <w:p>
            <w:r>
              <w:rPr>
                <w:rFonts w:ascii="Calibri" w:hAnsi="Calibri"/>
                <w:sz w:val="22"/>
              </w:rPr>
              <w:t>FY 2026 Revenue</w:t>
            </w:r>
          </w:p>
        </w:tc>
        <w:tc>
          <w:tcPr>
            <w:tcW w:type="dxa" w:w="1728"/>
          </w:tcPr>
          <w:p>
            <w:r>
              <w:rPr>
                <w:rFonts w:ascii="Calibri" w:hAnsi="Calibri"/>
                <w:sz w:val="22"/>
              </w:rPr>
              <w:t>$7,650M – $7,662M (71% YoY growth)</w:t>
            </w:r>
          </w:p>
        </w:tc>
        <w:tc>
          <w:tcPr>
            <w:tcW w:type="dxa" w:w="1728"/>
          </w:tcPr>
          <w:p>
            <w:r>
              <w:rPr>
                <w:rFonts w:ascii="Calibri" w:hAnsi="Calibri"/>
                <w:sz w:val="22"/>
              </w:rPr>
              <w:t>—</w:t>
            </w:r>
          </w:p>
        </w:tc>
        <w:tc>
          <w:tcPr>
            <w:tcW w:type="dxa" w:w="1728"/>
          </w:tcPr>
          <w:p>
            <w:r>
              <w:rPr>
                <w:rFonts w:ascii="Calibri" w:hAnsi="Calibri"/>
                <w:sz w:val="22"/>
              </w:rPr>
              <w:t>$7,740M</w:t>
            </w:r>
          </w:p>
        </w:tc>
        <w:tc>
          <w:tcPr>
            <w:tcW w:type="dxa" w:w="1728"/>
          </w:tcPr>
          <w:p>
            <w:r>
              <w:rPr>
                <w:rFonts w:ascii="Calibri" w:hAnsi="Calibri"/>
                <w:sz w:val="22"/>
              </w:rPr>
              <w:t>No post-earnings revision; consensus +1.1% above guidance midpoint; largest-ever full-year raise at Q1 print (+10 pts)</w:t>
            </w:r>
          </w:p>
        </w:tc>
      </w:tr>
      <w:tr>
        <w:tc>
          <w:tcPr>
            <w:tcW w:type="dxa" w:w="1728"/>
          </w:tcPr>
          <w:p>
            <w:r>
              <w:rPr>
                <w:rFonts w:ascii="Calibri" w:hAnsi="Calibri"/>
                <w:sz w:val="22"/>
              </w:rPr>
              <w:t>FY 2026 U.S. Commercial Revenue</w:t>
            </w:r>
          </w:p>
        </w:tc>
        <w:tc>
          <w:tcPr>
            <w:tcW w:type="dxa" w:w="1728"/>
          </w:tcPr>
          <w:p>
            <w:r>
              <w:rPr>
                <w:rFonts w:ascii="Calibri" w:hAnsi="Calibri"/>
                <w:sz w:val="22"/>
              </w:rPr>
              <w:t>&gt;$3,224M (120%+ YoY growth)</w:t>
            </w:r>
          </w:p>
        </w:tc>
        <w:tc>
          <w:tcPr>
            <w:tcW w:type="dxa" w:w="1728"/>
          </w:tcPr>
          <w:p>
            <w:r>
              <w:rPr>
                <w:rFonts w:ascii="Calibri" w:hAnsi="Calibri"/>
                <w:sz w:val="22"/>
              </w:rPr>
              <w:t>—</w:t>
            </w:r>
          </w:p>
        </w:tc>
        <w:tc>
          <w:tcPr>
            <w:tcW w:type="dxa" w:w="1728"/>
          </w:tcPr>
          <w:p>
            <w:r>
              <w:rPr>
                <w:rFonts w:ascii="Calibri" w:hAnsi="Calibri"/>
                <w:sz w:val="22"/>
              </w:rPr>
              <w:t>$3,221M</w:t>
            </w:r>
          </w:p>
        </w:tc>
        <w:tc>
          <w:tcPr>
            <w:tcW w:type="dxa" w:w="1728"/>
          </w:tcPr>
          <w:p>
            <w:r>
              <w:rPr>
                <w:rFonts w:ascii="Calibri" w:hAnsi="Calibri"/>
                <w:sz w:val="22"/>
              </w:rPr>
              <w:t>Consensus essentially at guidance floor; upside if Q2 accelerates above Q1’s 133% YoY</w:t>
            </w:r>
          </w:p>
        </w:tc>
      </w:tr>
      <w:tr>
        <w:tc>
          <w:tcPr>
            <w:tcW w:type="dxa" w:w="1728"/>
          </w:tcPr>
          <w:p>
            <w:r>
              <w:rPr>
                <w:rFonts w:ascii="Calibri" w:hAnsi="Calibri"/>
                <w:sz w:val="22"/>
              </w:rPr>
              <w:t>FY 2026 Adj. Operating Income</w:t>
            </w:r>
          </w:p>
        </w:tc>
        <w:tc>
          <w:tcPr>
            <w:tcW w:type="dxa" w:w="1728"/>
          </w:tcPr>
          <w:p>
            <w:r>
              <w:rPr>
                <w:rFonts w:ascii="Calibri" w:hAnsi="Calibri"/>
                <w:sz w:val="22"/>
              </w:rPr>
              <w:t>$4,440M – $4,452M</w:t>
            </w:r>
          </w:p>
        </w:tc>
        <w:tc>
          <w:tcPr>
            <w:tcW w:type="dxa" w:w="1728"/>
          </w:tcPr>
          <w:p>
            <w:r>
              <w:rPr>
                <w:rFonts w:ascii="Calibri" w:hAnsi="Calibri"/>
                <w:sz w:val="22"/>
              </w:rPr>
              <w:t>—</w:t>
            </w:r>
          </w:p>
        </w:tc>
        <w:tc>
          <w:tcPr>
            <w:tcW w:type="dxa" w:w="1728"/>
          </w:tcPr>
          <w:p>
            <w:r>
              <w:rPr>
                <w:rFonts w:ascii="Calibri" w:hAnsi="Calibri"/>
                <w:sz w:val="22"/>
              </w:rPr>
              <w:t>$4,566M</w:t>
            </w:r>
          </w:p>
        </w:tc>
        <w:tc>
          <w:tcPr>
            <w:tcW w:type="dxa" w:w="1728"/>
          </w:tcPr>
          <w:p>
            <w:r>
              <w:rPr>
                <w:rFonts w:ascii="Calibri" w:hAnsi="Calibri"/>
                <w:sz w:val="22"/>
              </w:rPr>
              <w:t>Consensus +2.6% above guidance midpoint; Street pricing in continued margin outperformance</w:t>
            </w:r>
          </w:p>
        </w:tc>
      </w:tr>
      <w:tr>
        <w:tc>
          <w:tcPr>
            <w:tcW w:type="dxa" w:w="1728"/>
          </w:tcPr>
          <w:p>
            <w:r>
              <w:rPr>
                <w:rFonts w:ascii="Calibri" w:hAnsi="Calibri"/>
                <w:sz w:val="22"/>
              </w:rPr>
              <w:t>FY 2026 Adj. Free Cash Flow</w:t>
            </w:r>
          </w:p>
        </w:tc>
        <w:tc>
          <w:tcPr>
            <w:tcW w:type="dxa" w:w="1728"/>
          </w:tcPr>
          <w:p>
            <w:r>
              <w:rPr>
                <w:rFonts w:ascii="Calibri" w:hAnsi="Calibri"/>
                <w:sz w:val="22"/>
              </w:rPr>
              <w:t>$4,200M – $4,400M</w:t>
            </w:r>
          </w:p>
        </w:tc>
        <w:tc>
          <w:tcPr>
            <w:tcW w:type="dxa" w:w="1728"/>
          </w:tcPr>
          <w:p>
            <w:r>
              <w:rPr>
                <w:rFonts w:ascii="Calibri" w:hAnsi="Calibri"/>
                <w:sz w:val="22"/>
              </w:rPr>
              <w:t>—</w:t>
            </w:r>
          </w:p>
        </w:tc>
        <w:tc>
          <w:tcPr>
            <w:tcW w:type="dxa" w:w="1728"/>
          </w:tcPr>
          <w:p>
            <w:r>
              <w:rPr>
                <w:rFonts w:ascii="Calibri" w:hAnsi="Calibri"/>
                <w:sz w:val="22"/>
              </w:rPr>
              <w:t>$4,236M</w:t>
            </w:r>
          </w:p>
        </w:tc>
        <w:tc>
          <w:tcPr>
            <w:tcW w:type="dxa" w:w="1728"/>
          </w:tcPr>
          <w:p>
            <w:r>
              <w:rPr>
                <w:rFonts w:ascii="Calibri" w:hAnsi="Calibri"/>
                <w:sz w:val="22"/>
              </w:rPr>
              <w:t>Consensus at low end of guidance range; FCF has historically exceeded operating income margin</w:t>
            </w:r>
          </w:p>
        </w:tc>
      </w:tr>
      <w:tr>
        <w:tc>
          <w:tcPr>
            <w:tcW w:type="dxa" w:w="1728"/>
          </w:tcPr>
          <w:p>
            <w:r>
              <w:rPr>
                <w:rFonts w:ascii="Calibri" w:hAnsi="Calibri"/>
                <w:sz w:val="22"/>
              </w:rPr>
              <w:t>FY 2026 Rule of 40 Score</w:t>
            </w:r>
          </w:p>
        </w:tc>
        <w:tc>
          <w:tcPr>
            <w:tcW w:type="dxa" w:w="1728"/>
          </w:tcPr>
          <w:p>
            <w:r>
              <w:rPr>
                <w:rFonts w:ascii="Calibri" w:hAnsi="Calibri"/>
                <w:sz w:val="22"/>
              </w:rPr>
              <w:t>129% (full-year target)</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Q1 2026 actual was 145%; full-year target implies deceleration from Q1 peak</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the Street absorbed the guidance raise immediately and has not revised further, suggesting </w:t>
      </w:r>
      <w:r>
        <w:rPr>
          <w:rFonts w:ascii="Calibri" w:hAnsi="Calibri"/>
          <w:b/>
          <w:color w:val="525866"/>
          <w:sz w:val="22"/>
        </w:rPr>
        <w:t>no incremental cushion or risk</w:t>
      </w:r>
      <w:r>
        <w:rPr>
          <w:rFonts w:ascii="Calibri" w:hAnsi="Calibri"/>
          <w:color w:val="525866"/>
          <w:sz w:val="22"/>
        </w:rPr>
        <w:t xml:space="preserve"> has been built in; the gap between consensus and guidance midpoint is narrow (+0.9% on Q2 revenue), meaning any beat must come from execution above guidance rather than estimate drift.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11,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$1,813.1M</w:t>
            </w:r>
          </w:p>
        </w:tc>
        <w:tc>
          <w:tcPr>
            <w:tcW w:type="dxa" w:w="1080"/>
          </w:tcPr>
          <w:p>
            <w:r>
              <w:rPr>
                <w:rFonts w:ascii="Calibri" w:hAnsi="Calibri"/>
                <w:sz w:val="22"/>
              </w:rPr>
              <w:t>$1,814.3M</w:t>
            </w:r>
          </w:p>
        </w:tc>
        <w:tc>
          <w:tcPr>
            <w:tcW w:type="dxa" w:w="1080"/>
          </w:tcPr>
          <w:p>
            <w:r>
              <w:rPr>
                <w:rFonts w:ascii="Calibri" w:hAnsi="Calibri"/>
                <w:sz w:val="22"/>
              </w:rPr>
              <w:t>+0.1%</w:t>
            </w:r>
          </w:p>
        </w:tc>
        <w:tc>
          <w:tcPr>
            <w:tcW w:type="dxa" w:w="1080"/>
          </w:tcPr>
          <w:p>
            <w:r>
              <w:rPr>
                <w:rFonts w:ascii="Calibri" w:hAnsi="Calibri"/>
                <w:sz w:val="22"/>
              </w:rPr>
              <w:t>$1,797–$1,801M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w:t>
            </w:r>
          </w:p>
        </w:tc>
      </w:tr>
      <w:tr>
        <w:tc>
          <w:tcPr>
            <w:tcW w:type="dxa" w:w="1080"/>
          </w:tcPr>
          <w:p>
            <w:r>
              <w:rPr>
                <w:rFonts w:ascii="Calibri" w:hAnsi="Calibri"/>
                <w:sz w:val="22"/>
              </w:rPr>
              <w:t>Total Revenue — FY 2026</w:t>
            </w:r>
          </w:p>
        </w:tc>
        <w:tc>
          <w:tcPr>
            <w:tcW w:type="dxa" w:w="1080"/>
          </w:tcPr>
          <w:p>
            <w:r>
              <w:rPr>
                <w:rFonts w:ascii="Calibri" w:hAnsi="Calibri"/>
                <w:sz w:val="22"/>
              </w:rPr>
              <w:t>$7,732.5M</w:t>
            </w:r>
          </w:p>
        </w:tc>
        <w:tc>
          <w:tcPr>
            <w:tcW w:type="dxa" w:w="1080"/>
          </w:tcPr>
          <w:p>
            <w:r>
              <w:rPr>
                <w:rFonts w:ascii="Calibri" w:hAnsi="Calibri"/>
                <w:sz w:val="22"/>
              </w:rPr>
              <w:t>$7,739.7M</w:t>
            </w:r>
          </w:p>
        </w:tc>
        <w:tc>
          <w:tcPr>
            <w:tcW w:type="dxa" w:w="1080"/>
          </w:tcPr>
          <w:p>
            <w:r>
              <w:rPr>
                <w:rFonts w:ascii="Calibri" w:hAnsi="Calibri"/>
                <w:sz w:val="22"/>
              </w:rPr>
              <w:t>+0.1%</w:t>
            </w:r>
          </w:p>
        </w:tc>
        <w:tc>
          <w:tcPr>
            <w:tcW w:type="dxa" w:w="1080"/>
          </w:tcPr>
          <w:p>
            <w:r>
              <w:rPr>
                <w:rFonts w:ascii="Calibri" w:hAnsi="Calibri"/>
                <w:sz w:val="22"/>
              </w:rPr>
              <w:t>$7,650–$7,662M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mid</w:t>
            </w:r>
          </w:p>
        </w:tc>
      </w:tr>
      <w:tr>
        <w:tc>
          <w:tcPr>
            <w:tcW w:type="dxa" w:w="1080"/>
          </w:tcPr>
          <w:p>
            <w:r>
              <w:rPr>
                <w:rFonts w:ascii="Calibri" w:hAnsi="Calibri"/>
                <w:sz w:val="22"/>
              </w:rPr>
              <w:t>U.S. Commercial Revenue — Q2 2026</w:t>
            </w:r>
          </w:p>
        </w:tc>
        <w:tc>
          <w:tcPr>
            <w:tcW w:type="dxa" w:w="1080"/>
          </w:tcPr>
          <w:p>
            <w:r>
              <w:rPr>
                <w:rFonts w:ascii="Calibri" w:hAnsi="Calibri"/>
                <w:sz w:val="22"/>
              </w:rPr>
              <w:t>$717.7M</w:t>
            </w:r>
          </w:p>
        </w:tc>
        <w:tc>
          <w:tcPr>
            <w:tcW w:type="dxa" w:w="1080"/>
          </w:tcPr>
          <w:p>
            <w:r>
              <w:rPr>
                <w:rFonts w:ascii="Calibri" w:hAnsi="Calibri"/>
                <w:sz w:val="22"/>
              </w:rPr>
              <w:t>$717.9M</w:t>
            </w:r>
          </w:p>
        </w:tc>
        <w:tc>
          <w:tcPr>
            <w:tcW w:type="dxa" w:w="1080"/>
          </w:tcPr>
          <w:p>
            <w:r>
              <w:rPr>
                <w:rFonts w:ascii="Calibri" w:hAnsi="Calibri"/>
                <w:sz w:val="22"/>
              </w:rPr>
              <w:t>+0.0%</w:t>
            </w:r>
          </w:p>
        </w:tc>
        <w:tc>
          <w:tcPr>
            <w:tcW w:type="dxa" w:w="1080"/>
          </w:tcPr>
          <w:p>
            <w:r>
              <w:rPr>
                <w:rFonts w:ascii="Calibri" w:hAnsi="Calibri"/>
                <w:sz w:val="22"/>
              </w:rPr>
              <w:t>&gt;$3,224M FY (120%+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at guidance floor</w:t>
            </w:r>
          </w:p>
        </w:tc>
      </w:tr>
      <w:tr>
        <w:tc>
          <w:tcPr>
            <w:tcW w:type="dxa" w:w="1080"/>
          </w:tcPr>
          <w:p>
            <w:r>
              <w:rPr>
                <w:rFonts w:ascii="Calibri" w:hAnsi="Calibri"/>
                <w:sz w:val="22"/>
              </w:rPr>
              <w:t>U.S. Commercial Revenue — FY 2026</w:t>
            </w:r>
          </w:p>
        </w:tc>
        <w:tc>
          <w:tcPr>
            <w:tcW w:type="dxa" w:w="1080"/>
          </w:tcPr>
          <w:p>
            <w:r>
              <w:rPr>
                <w:rFonts w:ascii="Calibri" w:hAnsi="Calibri"/>
                <w:sz w:val="22"/>
              </w:rPr>
              <w:t>$3,206.5M</w:t>
            </w:r>
          </w:p>
        </w:tc>
        <w:tc>
          <w:tcPr>
            <w:tcW w:type="dxa" w:w="1080"/>
          </w:tcPr>
          <w:p>
            <w:r>
              <w:rPr>
                <w:rFonts w:ascii="Calibri" w:hAnsi="Calibri"/>
                <w:sz w:val="22"/>
              </w:rPr>
              <w:t>$3,221.1M</w:t>
            </w:r>
          </w:p>
        </w:tc>
        <w:tc>
          <w:tcPr>
            <w:tcW w:type="dxa" w:w="1080"/>
          </w:tcPr>
          <w:p>
            <w:r>
              <w:rPr>
                <w:rFonts w:ascii="Calibri" w:hAnsi="Calibri"/>
                <w:sz w:val="22"/>
              </w:rPr>
              <w:t>+0.5%</w:t>
            </w:r>
          </w:p>
        </w:tc>
        <w:tc>
          <w:tcPr>
            <w:tcW w:type="dxa" w:w="1080"/>
          </w:tcPr>
          <w:p>
            <w:r>
              <w:rPr>
                <w:rFonts w:ascii="Calibri" w:hAnsi="Calibri"/>
                <w:sz w:val="22"/>
              </w:rPr>
              <w:t>&gt;$3,224M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vs. guidance floor</w:t>
            </w:r>
          </w:p>
        </w:tc>
      </w:tr>
      <w:tr>
        <w:tc>
          <w:tcPr>
            <w:tcW w:type="dxa" w:w="1080"/>
          </w:tcPr>
          <w:p>
            <w:r>
              <w:rPr>
                <w:rFonts w:ascii="Calibri" w:hAnsi="Calibri"/>
                <w:sz w:val="22"/>
              </w:rPr>
              <w:t>Adj. Operating Income — Q2 2026</w:t>
            </w:r>
          </w:p>
        </w:tc>
        <w:tc>
          <w:tcPr>
            <w:tcW w:type="dxa" w:w="1080"/>
          </w:tcPr>
          <w:p>
            <w:r>
              <w:rPr>
                <w:rFonts w:ascii="Calibri" w:hAnsi="Calibri"/>
                <w:sz w:val="22"/>
              </w:rPr>
              <w:t>$1,076.8M</w:t>
            </w:r>
          </w:p>
        </w:tc>
        <w:tc>
          <w:tcPr>
            <w:tcW w:type="dxa" w:w="1080"/>
          </w:tcPr>
          <w:p>
            <w:r>
              <w:rPr>
                <w:rFonts w:ascii="Calibri" w:hAnsi="Calibri"/>
                <w:sz w:val="22"/>
              </w:rPr>
              <w:t>$1,082.4M</w:t>
            </w:r>
          </w:p>
        </w:tc>
        <w:tc>
          <w:tcPr>
            <w:tcW w:type="dxa" w:w="1080"/>
          </w:tcPr>
          <w:p>
            <w:r>
              <w:rPr>
                <w:rFonts w:ascii="Calibri" w:hAnsi="Calibri"/>
                <w:sz w:val="22"/>
              </w:rPr>
              <w:t>+0.5%</w:t>
            </w:r>
          </w:p>
        </w:tc>
        <w:tc>
          <w:tcPr>
            <w:tcW w:type="dxa" w:w="1080"/>
          </w:tcPr>
          <w:p>
            <w:r>
              <w:rPr>
                <w:rFonts w:ascii="Calibri" w:hAnsi="Calibri"/>
                <w:sz w:val="22"/>
              </w:rPr>
              <w:t>$1,063–$1,067M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above mid</w:t>
            </w:r>
          </w:p>
        </w:tc>
      </w:tr>
      <w:tr>
        <w:tc>
          <w:tcPr>
            <w:tcW w:type="dxa" w:w="1080"/>
          </w:tcPr>
          <w:p>
            <w:r>
              <w:rPr>
                <w:rFonts w:ascii="Calibri" w:hAnsi="Calibri"/>
                <w:sz w:val="22"/>
              </w:rPr>
              <w:t>Adj. Operating Income — FY 2026</w:t>
            </w:r>
          </w:p>
        </w:tc>
        <w:tc>
          <w:tcPr>
            <w:tcW w:type="dxa" w:w="1080"/>
          </w:tcPr>
          <w:p>
            <w:r>
              <w:rPr>
                <w:rFonts w:ascii="Calibri" w:hAnsi="Calibri"/>
                <w:sz w:val="22"/>
              </w:rPr>
              <w:t>$4,537.5M</w:t>
            </w:r>
          </w:p>
        </w:tc>
        <w:tc>
          <w:tcPr>
            <w:tcW w:type="dxa" w:w="1080"/>
          </w:tcPr>
          <w:p>
            <w:r>
              <w:rPr>
                <w:rFonts w:ascii="Calibri" w:hAnsi="Calibri"/>
                <w:sz w:val="22"/>
              </w:rPr>
              <w:t>$4,565.7M</w:t>
            </w:r>
          </w:p>
        </w:tc>
        <w:tc>
          <w:tcPr>
            <w:tcW w:type="dxa" w:w="1080"/>
          </w:tcPr>
          <w:p>
            <w:r>
              <w:rPr>
                <w:rFonts w:ascii="Calibri" w:hAnsi="Calibri"/>
                <w:sz w:val="22"/>
              </w:rPr>
              <w:t>+0.6%</w:t>
            </w:r>
          </w:p>
        </w:tc>
        <w:tc>
          <w:tcPr>
            <w:tcW w:type="dxa" w:w="1080"/>
          </w:tcPr>
          <w:p>
            <w:r>
              <w:rPr>
                <w:rFonts w:ascii="Calibri" w:hAnsi="Calibri"/>
                <w:sz w:val="22"/>
              </w:rPr>
              <w:t>$4,440–$4,452M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+2.6% above mid</w:t>
            </w:r>
          </w:p>
        </w:tc>
      </w:tr>
      <w:tr>
        <w:tc>
          <w:tcPr>
            <w:tcW w:type="dxa" w:w="1080"/>
          </w:tcPr>
          <w:p>
            <w:r>
              <w:rPr>
                <w:rFonts w:ascii="Calibri" w:hAnsi="Calibri"/>
                <w:sz w:val="22"/>
              </w:rPr>
              <w:t>Adj. EPS — Q2 2026</w:t>
            </w:r>
          </w:p>
        </w:tc>
        <w:tc>
          <w:tcPr>
            <w:tcW w:type="dxa" w:w="1080"/>
          </w:tcPr>
          <w:p>
            <w:r>
              <w:rPr>
                <w:rFonts w:ascii="Calibri" w:hAnsi="Calibri"/>
                <w:sz w:val="22"/>
              </w:rPr>
              <w:t>$0.348</w:t>
            </w:r>
          </w:p>
        </w:tc>
        <w:tc>
          <w:tcPr>
            <w:tcW w:type="dxa" w:w="1080"/>
          </w:tcPr>
          <w:p>
            <w:r>
              <w:rPr>
                <w:rFonts w:ascii="Calibri" w:hAnsi="Calibri"/>
                <w:sz w:val="22"/>
              </w:rPr>
              <w:t>$0.351</w:t>
            </w:r>
          </w:p>
        </w:tc>
        <w:tc>
          <w:tcPr>
            <w:tcW w:type="dxa" w:w="1080"/>
          </w:tcPr>
          <w:p>
            <w:r>
              <w:rPr>
                <w:rFonts w:ascii="Calibri" w:hAnsi="Calibri"/>
                <w:sz w:val="22"/>
              </w:rPr>
              <w:t>+0.9%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$1.478</w:t>
            </w:r>
          </w:p>
        </w:tc>
        <w:tc>
          <w:tcPr>
            <w:tcW w:type="dxa" w:w="1080"/>
          </w:tcPr>
          <w:p>
            <w:r>
              <w:rPr>
                <w:rFonts w:ascii="Calibri" w:hAnsi="Calibri"/>
                <w:sz w:val="22"/>
              </w:rPr>
              <w:t>$1.492</w:t>
            </w:r>
          </w:p>
        </w:tc>
        <w:tc>
          <w:tcPr>
            <w:tcW w:type="dxa" w:w="1080"/>
          </w:tcPr>
          <w:p>
            <w:r>
              <w:rPr>
                <w:rFonts w:ascii="Calibri" w:hAnsi="Calibri"/>
                <w:sz w:val="22"/>
              </w:rPr>
              <w:t>+0.9%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barely moved since the Q1 print — the Street locked in the guidance raise immediately and has not revised further in either direction. The narrow gap between consensus and guidance midpoint (~+0.9% on revenue) means the bar is effectively set at guidance, and any beat must come from genuine execution above the company's own targets rather than estimate drift. The FY 2026 U.S. Commercial consensus of $3.22B sits just below the guidance floor of $3.224B, implying the Street is not yet pricing in upside to the 120%+ growth target.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PLTR has underperformed both XLK and the S&amp;P 500 since the Q1 print, declining ~16% vs. XLK +8% and SPY +4% — the underperformance is driven almost entirely by </w:t>
      </w:r>
      <w:r>
        <w:rPr>
          <w:rFonts w:ascii="Calibri" w:hAnsi="Calibri"/>
          <w:b/>
          <w:color w:val="525866"/>
          <w:sz w:val="22"/>
        </w:rPr>
        <w:t>multiple compression</w:t>
      </w:r>
      <w:r>
        <w:rPr>
          <w:rFonts w:ascii="Calibri" w:hAnsi="Calibri"/>
          <w:color w:val="525866"/>
          <w:sz w:val="22"/>
        </w:rPr>
        <w:t xml:space="preserve"> (NTM EV/Sales contracted from ~57x to ~29x over six months), not estimate cuts, suggesting the stock is pricing in a lower growth premium rather than deteriorating fundamentals.</w:t>
      </w:r>
    </w:p>
    <w:p>
      <w:r>
        <w:rPr>
          <w:rFonts w:ascii="Calibri" w:hAnsi="Calibri"/>
          <w:color w:val="525866"/>
          <w:sz w:val="22"/>
        </w:rPr>
        <w:t>Since the Q1 2026 earnings close on May 4, 2026 ($146.03), PLTR has declined to $123.09 as of July 31, 2026 (−15.7%), while XLK gained +8.2% ($162.05 → $175.38) and SPY gained +4.0% ($718.01 → $747.07). The stock peaked at $160.65 on June 1 before a sharp 33% drawdown to a trough of $107.27 on June 25, driven by sector rotation out of software, NHS contract review concerns, and France’s stated intent to sever ties with Palantir. The stock partially recovered on the Nvidia partnership announcement (June 29, +3.3%) and has since stabilized in the $120–$135 range. Key events marked on the chart below: AIPCon 10 (June 4), NHS contract review news (June 9), Nvidia partnership (June 29), GNP Seguros Mexico deal (July 7), and the July 28 French intelligence pivot news (−10.4% single-day drop).</w:t>
      </w:r>
    </w:p>
    <w:p>
      <w:r>
        <w:rPr>
          <w:rFonts w:ascii="Calibri" w:hAnsi="Calibri"/>
          <w:b/>
          <w:color w:val="525866"/>
          <w:sz w:val="22"/>
        </w:rPr>
        <w:t xml:space="preserve">Stock performance decomposition: </w:t>
      </w:r>
      <w:r>
        <w:rPr>
          <w:rFonts w:ascii="Calibri" w:hAnsi="Calibri"/>
          <w:color w:val="525866"/>
          <w:sz w:val="22"/>
        </w:rPr>
        <w:t>Over the past 6 months, PLTR is down ~19% while NTM EV/EBITDA contracted ~58% (from ~114x to ~48x) and NTM EV/Sales contracted ~49% (from ~57x to ~29x). This confirms the decline is a valuation de-rating, not an earnings story — estimates have actually risen slightly since Q1. The stock’s current NTM P/E of ~65x and EV/Sales of ~29x represent a significant compression from peak multiples, but remain well above software sector averages, leaving the stock vulnerable to any execution miss.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PLTR Price</w:t>
            </w:r>
          </w:p>
        </w:tc>
        <w:tc>
          <w:tcPr>
            <w:tcW w:type="dxa" w:w="1728"/>
            <w:shd w:val="clear" w:color="auto" w:fill="3B4259"/>
          </w:tcPr>
          <w:p>
            <w:r>
              <w:rPr>
                <w:rFonts w:ascii="Calibri" w:hAnsi="Calibri"/>
                <w:b/>
                <w:color w:val="FFFFFF"/>
                <w:sz w:val="22"/>
              </w:rPr>
              <w:t>PLTR Indexed (Base=100)</w:t>
            </w:r>
          </w:p>
        </w:tc>
        <w:tc>
          <w:tcPr>
            <w:tcW w:type="dxa" w:w="1728"/>
            <w:shd w:val="clear" w:color="auto" w:fill="3B4259"/>
          </w:tcPr>
          <w:p>
            <w:r>
              <w:rPr>
                <w:rFonts w:ascii="Calibri" w:hAnsi="Calibri"/>
                <w:b/>
                <w:color w:val="FFFFFF"/>
                <w:sz w:val="22"/>
              </w:rPr>
              <w:t>XLK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May 4, 2026 (Q1 Earnings)</w:t>
            </w:r>
          </w:p>
        </w:tc>
        <w:tc>
          <w:tcPr>
            <w:tcW w:type="dxa" w:w="1728"/>
          </w:tcPr>
          <w:p>
            <w:r>
              <w:rPr>
                <w:rFonts w:ascii="Calibri" w:hAnsi="Calibri"/>
                <w:sz w:val="22"/>
              </w:rPr>
              <w:t>$146.03</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Jun 1, 2026 (Peak)</w:t>
            </w:r>
          </w:p>
        </w:tc>
        <w:tc>
          <w:tcPr>
            <w:tcW w:type="dxa" w:w="1728"/>
          </w:tcPr>
          <w:p>
            <w:r>
              <w:rPr>
                <w:rFonts w:ascii="Calibri" w:hAnsi="Calibri"/>
                <w:sz w:val="22"/>
              </w:rPr>
              <w:t>$160.65</w:t>
            </w:r>
          </w:p>
        </w:tc>
        <w:tc>
          <w:tcPr>
            <w:tcW w:type="dxa" w:w="1728"/>
          </w:tcPr>
          <w:p>
            <w:r>
              <w:rPr>
                <w:rFonts w:ascii="Calibri" w:hAnsi="Calibri"/>
                <w:sz w:val="22"/>
              </w:rPr>
              <w:t>110.0</w:t>
            </w:r>
          </w:p>
        </w:tc>
        <w:tc>
          <w:tcPr>
            <w:tcW w:type="dxa" w:w="1728"/>
          </w:tcPr>
          <w:p>
            <w:r>
              <w:rPr>
                <w:rFonts w:ascii="Calibri" w:hAnsi="Calibri"/>
                <w:sz w:val="22"/>
              </w:rPr>
              <w:t>120.8</w:t>
            </w:r>
          </w:p>
        </w:tc>
        <w:tc>
          <w:tcPr>
            <w:tcW w:type="dxa" w:w="1728"/>
          </w:tcPr>
          <w:p>
            <w:r>
              <w:rPr>
                <w:rFonts w:ascii="Calibri" w:hAnsi="Calibri"/>
                <w:sz w:val="22"/>
              </w:rPr>
              <w:t>105.6</w:t>
            </w:r>
          </w:p>
        </w:tc>
      </w:tr>
      <w:tr>
        <w:tc>
          <w:tcPr>
            <w:tcW w:type="dxa" w:w="1728"/>
          </w:tcPr>
          <w:p>
            <w:r>
              <w:rPr>
                <w:rFonts w:ascii="Calibri" w:hAnsi="Calibri"/>
                <w:sz w:val="22"/>
              </w:rPr>
              <w:t>Jun 9, 2026 (NHS Review News)</w:t>
            </w:r>
          </w:p>
        </w:tc>
        <w:tc>
          <w:tcPr>
            <w:tcW w:type="dxa" w:w="1728"/>
          </w:tcPr>
          <w:p>
            <w:r>
              <w:rPr>
                <w:rFonts w:ascii="Calibri" w:hAnsi="Calibri"/>
                <w:sz w:val="22"/>
              </w:rPr>
              <w:t>$132.07</w:t>
            </w:r>
          </w:p>
        </w:tc>
        <w:tc>
          <w:tcPr>
            <w:tcW w:type="dxa" w:w="1728"/>
          </w:tcPr>
          <w:p>
            <w:r>
              <w:rPr>
                <w:rFonts w:ascii="Calibri" w:hAnsi="Calibri"/>
                <w:sz w:val="22"/>
              </w:rPr>
              <w:t>90.4</w:t>
            </w:r>
          </w:p>
        </w:tc>
        <w:tc>
          <w:tcPr>
            <w:tcW w:type="dxa" w:w="1728"/>
          </w:tcPr>
          <w:p>
            <w:r>
              <w:rPr>
                <w:rFonts w:ascii="Calibri" w:hAnsi="Calibri"/>
                <w:sz w:val="22"/>
              </w:rPr>
              <w:t>111.6</w:t>
            </w:r>
          </w:p>
        </w:tc>
        <w:tc>
          <w:tcPr>
            <w:tcW w:type="dxa" w:w="1728"/>
          </w:tcPr>
          <w:p>
            <w:r>
              <w:rPr>
                <w:rFonts w:ascii="Calibri" w:hAnsi="Calibri"/>
                <w:sz w:val="22"/>
              </w:rPr>
              <w:t>102.7</w:t>
            </w:r>
          </w:p>
        </w:tc>
      </w:tr>
      <w:tr>
        <w:tc>
          <w:tcPr>
            <w:tcW w:type="dxa" w:w="1728"/>
          </w:tcPr>
          <w:p>
            <w:r>
              <w:rPr>
                <w:rFonts w:ascii="Calibri" w:hAnsi="Calibri"/>
                <w:sz w:val="22"/>
              </w:rPr>
              <w:t>Jun 25, 2026 (Trough)</w:t>
            </w:r>
          </w:p>
        </w:tc>
        <w:tc>
          <w:tcPr>
            <w:tcW w:type="dxa" w:w="1728"/>
          </w:tcPr>
          <w:p>
            <w:r>
              <w:rPr>
                <w:rFonts w:ascii="Calibri" w:hAnsi="Calibri"/>
                <w:sz w:val="22"/>
              </w:rPr>
              <w:t>$107.27</w:t>
            </w:r>
          </w:p>
        </w:tc>
        <w:tc>
          <w:tcPr>
            <w:tcW w:type="dxa" w:w="1728"/>
          </w:tcPr>
          <w:p>
            <w:r>
              <w:rPr>
                <w:rFonts w:ascii="Calibri" w:hAnsi="Calibri"/>
                <w:sz w:val="22"/>
              </w:rPr>
              <w:t>73.5</w:t>
            </w:r>
          </w:p>
        </w:tc>
        <w:tc>
          <w:tcPr>
            <w:tcW w:type="dxa" w:w="1728"/>
          </w:tcPr>
          <w:p>
            <w:r>
              <w:rPr>
                <w:rFonts w:ascii="Calibri" w:hAnsi="Calibri"/>
                <w:sz w:val="22"/>
              </w:rPr>
              <w:t>113.8</w:t>
            </w:r>
          </w:p>
        </w:tc>
        <w:tc>
          <w:tcPr>
            <w:tcW w:type="dxa" w:w="1728"/>
          </w:tcPr>
          <w:p>
            <w:r>
              <w:rPr>
                <w:rFonts w:ascii="Calibri" w:hAnsi="Calibri"/>
                <w:sz w:val="22"/>
              </w:rPr>
              <w:t>102.3</w:t>
            </w:r>
          </w:p>
        </w:tc>
      </w:tr>
      <w:tr>
        <w:tc>
          <w:tcPr>
            <w:tcW w:type="dxa" w:w="1728"/>
          </w:tcPr>
          <w:p>
            <w:r>
              <w:rPr>
                <w:rFonts w:ascii="Calibri" w:hAnsi="Calibri"/>
                <w:sz w:val="22"/>
              </w:rPr>
              <w:t>Jun 29, 2026 (Nvidia Deal)</w:t>
            </w:r>
          </w:p>
        </w:tc>
        <w:tc>
          <w:tcPr>
            <w:tcW w:type="dxa" w:w="1728"/>
          </w:tcPr>
          <w:p>
            <w:r>
              <w:rPr>
                <w:rFonts w:ascii="Calibri" w:hAnsi="Calibri"/>
                <w:sz w:val="22"/>
              </w:rPr>
              <w:t>$112.93</w:t>
            </w:r>
          </w:p>
        </w:tc>
        <w:tc>
          <w:tcPr>
            <w:tcW w:type="dxa" w:w="1728"/>
          </w:tcPr>
          <w:p>
            <w:r>
              <w:rPr>
                <w:rFonts w:ascii="Calibri" w:hAnsi="Calibri"/>
                <w:sz w:val="22"/>
              </w:rPr>
              <w:t>77.3</w:t>
            </w:r>
          </w:p>
        </w:tc>
        <w:tc>
          <w:tcPr>
            <w:tcW w:type="dxa" w:w="1728"/>
          </w:tcPr>
          <w:p>
            <w:r>
              <w:rPr>
                <w:rFonts w:ascii="Calibri" w:hAnsi="Calibri"/>
                <w:sz w:val="22"/>
              </w:rPr>
              <w:t>111.8</w:t>
            </w:r>
          </w:p>
        </w:tc>
        <w:tc>
          <w:tcPr>
            <w:tcW w:type="dxa" w:w="1728"/>
          </w:tcPr>
          <w:p>
            <w:r>
              <w:rPr>
                <w:rFonts w:ascii="Calibri" w:hAnsi="Calibri"/>
                <w:sz w:val="22"/>
              </w:rPr>
              <w:t>101.5</w:t>
            </w:r>
          </w:p>
        </w:tc>
      </w:tr>
      <w:tr>
        <w:tc>
          <w:tcPr>
            <w:tcW w:type="dxa" w:w="1728"/>
          </w:tcPr>
          <w:p>
            <w:r>
              <w:rPr>
                <w:rFonts w:ascii="Calibri" w:hAnsi="Calibri"/>
                <w:sz w:val="22"/>
              </w:rPr>
              <w:t>Jul 7, 2026 (GNP Seguros Deal)</w:t>
            </w:r>
          </w:p>
        </w:tc>
        <w:tc>
          <w:tcPr>
            <w:tcW w:type="dxa" w:w="1728"/>
          </w:tcPr>
          <w:p>
            <w:r>
              <w:rPr>
                <w:rFonts w:ascii="Calibri" w:hAnsi="Calibri"/>
                <w:sz w:val="22"/>
              </w:rPr>
              <w:t>$134.37</w:t>
            </w:r>
          </w:p>
        </w:tc>
        <w:tc>
          <w:tcPr>
            <w:tcW w:type="dxa" w:w="1728"/>
          </w:tcPr>
          <w:p>
            <w:r>
              <w:rPr>
                <w:rFonts w:ascii="Calibri" w:hAnsi="Calibri"/>
                <w:sz w:val="22"/>
              </w:rPr>
              <w:t>92.0</w:t>
            </w:r>
          </w:p>
        </w:tc>
        <w:tc>
          <w:tcPr>
            <w:tcW w:type="dxa" w:w="1728"/>
          </w:tcPr>
          <w:p>
            <w:r>
              <w:rPr>
                <w:rFonts w:ascii="Calibri" w:hAnsi="Calibri"/>
                <w:sz w:val="22"/>
              </w:rPr>
              <w:t>110.6</w:t>
            </w:r>
          </w:p>
        </w:tc>
        <w:tc>
          <w:tcPr>
            <w:tcW w:type="dxa" w:w="1728"/>
          </w:tcPr>
          <w:p>
            <w:r>
              <w:rPr>
                <w:rFonts w:ascii="Calibri" w:hAnsi="Calibri"/>
                <w:sz w:val="22"/>
              </w:rPr>
              <w:t>104.1</w:t>
            </w:r>
          </w:p>
        </w:tc>
      </w:tr>
      <w:tr>
        <w:tc>
          <w:tcPr>
            <w:tcW w:type="dxa" w:w="1728"/>
          </w:tcPr>
          <w:p>
            <w:r>
              <w:rPr>
                <w:rFonts w:ascii="Calibri" w:hAnsi="Calibri"/>
                <w:sz w:val="22"/>
              </w:rPr>
              <w:t>Jul 28, 2026 (France Intel Pivot)</w:t>
            </w:r>
          </w:p>
        </w:tc>
        <w:tc>
          <w:tcPr>
            <w:tcW w:type="dxa" w:w="1728"/>
          </w:tcPr>
          <w:p>
            <w:r>
              <w:rPr>
                <w:rFonts w:ascii="Calibri" w:hAnsi="Calibri"/>
                <w:sz w:val="22"/>
              </w:rPr>
              <w:t>$123.53</w:t>
            </w:r>
          </w:p>
        </w:tc>
        <w:tc>
          <w:tcPr>
            <w:tcW w:type="dxa" w:w="1728"/>
          </w:tcPr>
          <w:p>
            <w:r>
              <w:rPr>
                <w:rFonts w:ascii="Calibri" w:hAnsi="Calibri"/>
                <w:sz w:val="22"/>
              </w:rPr>
              <w:t>84.6</w:t>
            </w:r>
          </w:p>
        </w:tc>
        <w:tc>
          <w:tcPr>
            <w:tcW w:type="dxa" w:w="1728"/>
          </w:tcPr>
          <w:p>
            <w:r>
              <w:rPr>
                <w:rFonts w:ascii="Calibri" w:hAnsi="Calibri"/>
                <w:sz w:val="22"/>
              </w:rPr>
              <w:t>105.6</w:t>
            </w:r>
          </w:p>
        </w:tc>
        <w:tc>
          <w:tcPr>
            <w:tcW w:type="dxa" w:w="1728"/>
          </w:tcPr>
          <w:p>
            <w:r>
              <w:rPr>
                <w:rFonts w:ascii="Calibri" w:hAnsi="Calibri"/>
                <w:sz w:val="22"/>
              </w:rPr>
              <w:t>103.2</w:t>
            </w:r>
          </w:p>
        </w:tc>
      </w:tr>
      <w:tr>
        <w:tc>
          <w:tcPr>
            <w:tcW w:type="dxa" w:w="1728"/>
          </w:tcPr>
          <w:p>
            <w:r>
              <w:rPr>
                <w:rFonts w:ascii="Calibri" w:hAnsi="Calibri"/>
                <w:sz w:val="22"/>
              </w:rPr>
              <w:t>Jul 31, 2026 (Latest)</w:t>
            </w:r>
          </w:p>
        </w:tc>
        <w:tc>
          <w:tcPr>
            <w:tcW w:type="dxa" w:w="1728"/>
          </w:tcPr>
          <w:p>
            <w:r>
              <w:rPr>
                <w:rFonts w:ascii="Calibri" w:hAnsi="Calibri"/>
                <w:sz w:val="22"/>
              </w:rPr>
              <w:t>$123.09</w:t>
            </w:r>
          </w:p>
        </w:tc>
        <w:tc>
          <w:tcPr>
            <w:tcW w:type="dxa" w:w="1728"/>
          </w:tcPr>
          <w:p>
            <w:r>
              <w:rPr>
                <w:rFonts w:ascii="Calibri" w:hAnsi="Calibri"/>
                <w:sz w:val="22"/>
              </w:rPr>
              <w:t>84.3</w:t>
            </w:r>
          </w:p>
        </w:tc>
        <w:tc>
          <w:tcPr>
            <w:tcW w:type="dxa" w:w="1728"/>
          </w:tcPr>
          <w:p>
            <w:r>
              <w:rPr>
                <w:rFonts w:ascii="Calibri" w:hAnsi="Calibri"/>
                <w:sz w:val="22"/>
              </w:rPr>
              <w:t>108.2</w:t>
            </w:r>
          </w:p>
        </w:tc>
        <w:tc>
          <w:tcPr>
            <w:tcW w:type="dxa" w:w="1728"/>
          </w:tcPr>
          <w:p>
            <w:r>
              <w:rPr>
                <w:rFonts w:ascii="Calibri" w:hAnsi="Calibri"/>
                <w:sz w:val="22"/>
              </w:rPr>
              <w:t>104.0</w:t>
            </w:r>
          </w:p>
        </w:tc>
      </w:tr>
    </w:tbl>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Nvidia partnership (June 29)</w:t>
      </w:r>
      <w:r>
        <w:rPr>
          <w:rFonts w:ascii="Calibri" w:hAnsi="Calibri"/>
          <w:color w:val="525866"/>
          <w:sz w:val="22"/>
        </w:rPr>
        <w:t xml:space="preserve"> — it validates PLTR’s U.S. government AI positioning and snapped a brutal 7-session losing streak; the NHS contract review and France’s pivot away from U.S. tech are the primary overhangs heading into the print.</w:t>
      </w:r>
    </w:p>
    <w:p>
      <w:pPr>
        <w:pStyle w:val="ListBullet"/>
        <w:ind w:left="360" w:hanging="360"/>
      </w:pPr>
      <w:r>
        <w:rPr>
          <w:rFonts w:ascii="Calibri" w:hAnsi="Calibri"/>
          <w:b/>
          <w:color w:val="525866"/>
          <w:sz w:val="22"/>
        </w:rPr>
        <w:t>August 3, 2026 — Q2 2026 Earnings Release (After Market Close):</w:t>
      </w:r>
      <w:r>
        <w:rPr>
          <w:rFonts w:ascii="Calibri" w:hAnsi="Calibri"/>
          <w:color w:val="525866"/>
          <w:sz w:val="22"/>
        </w:rPr>
        <w:t xml:space="preserve"> Palantir reports Q2 2026 results after the close with a 5:00 PM ET webcast. Street expects $1.81B revenue (+80% YoY), ~60% adj. operating margin, and $0.35 adj. EPS. Implication: Any guidance raise above the current FY $7.65–$7.66B range would be the primary catalyst.</w:t>
      </w:r>
    </w:p>
    <w:p>
      <w:pPr>
        <w:pStyle w:val="ListBullet"/>
        <w:ind w:left="360" w:hanging="360"/>
      </w:pPr>
      <w:r>
        <w:rPr>
          <w:rFonts w:ascii="Calibri" w:hAnsi="Calibri"/>
          <w:b/>
          <w:color w:val="525866"/>
          <w:sz w:val="22"/>
        </w:rPr>
        <w:t>July 28, 2026 — France Intelligence Pivot (−10.4% single-day drop):</w:t>
      </w:r>
      <w:r>
        <w:rPr>
          <w:rFonts w:ascii="Calibri" w:hAnsi="Calibri"/>
          <w:color w:val="525866"/>
          <w:sz w:val="22"/>
        </w:rPr>
        <w:t xml:space="preserve"> French intelligence agencies announced a pivot away from U.S. tech firms toward local alternatives; France’s prime minister had previously stated intent to sever ties with Palantir. Implication: Reinforces the international commercial headwind narrative; France is one of PLTR’s largest international revenue bases.</w:t>
      </w:r>
    </w:p>
    <w:p>
      <w:pPr>
        <w:pStyle w:val="ListBullet"/>
        <w:ind w:left="360" w:hanging="360"/>
      </w:pPr>
      <w:r>
        <w:rPr>
          <w:rFonts w:ascii="Calibri" w:hAnsi="Calibri"/>
          <w:b/>
          <w:color w:val="525866"/>
          <w:sz w:val="22"/>
        </w:rPr>
        <w:t>July 7, 2026 — GNP Seguros Mexico Deal:</w:t>
      </w:r>
      <w:r>
        <w:rPr>
          <w:rFonts w:ascii="Calibri" w:hAnsi="Calibri"/>
          <w:color w:val="525866"/>
          <w:sz w:val="22"/>
        </w:rPr>
        <w:t xml:space="preserve"> Palantir announced its first commercial client in Mexico, an expanded enterprise agreement with GNP Seguros (Mexico’s largest insurer) for fraud detection, risk monitoring, and underwriting via Foundry and AIP. Implication: Positive signal for international commercial expansion beyond core U.S./U.K. markets; stock +1.4% pre-market on announcement.</w:t>
      </w:r>
    </w:p>
    <w:p>
      <w:pPr>
        <w:pStyle w:val="ListBullet"/>
        <w:ind w:left="360" w:hanging="360"/>
      </w:pPr>
      <w:r>
        <w:rPr>
          <w:rFonts w:ascii="Calibri" w:hAnsi="Calibri"/>
          <w:b/>
          <w:color w:val="525866"/>
          <w:sz w:val="22"/>
        </w:rPr>
        <w:t>July 2, 2026 — Analyst Upgrade:</w:t>
      </w:r>
      <w:r>
        <w:rPr>
          <w:rFonts w:ascii="Calibri" w:hAnsi="Calibri"/>
          <w:color w:val="525866"/>
          <w:sz w:val="22"/>
        </w:rPr>
        <w:t xml:space="preserve"> Palantir received an analyst upgrade, with the stock rising on the news. Implication: Incremental positive sentiment heading into earnings.</w:t>
      </w:r>
    </w:p>
    <w:p>
      <w:pPr>
        <w:pStyle w:val="ListBullet"/>
        <w:ind w:left="360" w:hanging="360"/>
      </w:pPr>
      <w:r>
        <w:rPr>
          <w:rFonts w:ascii="Calibri" w:hAnsi="Calibri"/>
          <w:b/>
          <w:color w:val="525866"/>
          <w:sz w:val="22"/>
        </w:rPr>
        <w:t>July 11, 2026 — CEO Karp on AI Labs / Institutional Sovereignty (WSJ):</w:t>
      </w:r>
      <w:r>
        <w:rPr>
          <w:rFonts w:ascii="Calibri" w:hAnsi="Calibri"/>
          <w:color w:val="525866"/>
          <w:sz w:val="22"/>
        </w:rPr>
        <w:t xml:space="preserve"> Alex Karp publicly voiced corporate America’s frustration with AI labs over data use and costs, advocating for “institutional sovereignty.” Implication: Positions PLTR as the governance/sovereignty layer in enterprise AI — reinforces the AIP value proposition and differentiates from hyperscaler AI offerings.</w:t>
      </w:r>
    </w:p>
    <w:p>
      <w:pPr>
        <w:pStyle w:val="ListBullet"/>
        <w:ind w:left="360" w:hanging="360"/>
      </w:pPr>
      <w:r>
        <w:rPr>
          <w:rFonts w:ascii="Calibri" w:hAnsi="Calibri"/>
          <w:b/>
          <w:color w:val="525866"/>
          <w:sz w:val="22"/>
        </w:rPr>
        <w:t>June 29, 2026 — Palantir-Nvidia Partnership:</w:t>
      </w:r>
      <w:r>
        <w:rPr>
          <w:rFonts w:ascii="Calibri" w:hAnsi="Calibri"/>
          <w:color w:val="525866"/>
          <w:sz w:val="22"/>
        </w:rPr>
        <w:t xml:space="preserve"> Palantir and Nvidia announced a strategic initiative to use Nvidia’s AI ecosystem and Nemotron models to build custom AI models for the U.S. government, combining Palantir’s critical infrastructure with Nvidia’s AI platform. Implication: Directly validates PLTR’s U.S. government AI positioning; snapped a 7-session losing streak; stock +3.3% on announcement.</w:t>
      </w:r>
    </w:p>
    <w:p>
      <w:pPr>
        <w:pStyle w:val="ListBullet"/>
        <w:ind w:left="360" w:hanging="360"/>
      </w:pPr>
      <w:r>
        <w:rPr>
          <w:rFonts w:ascii="Calibri" w:hAnsi="Calibri"/>
          <w:b/>
          <w:color w:val="525866"/>
          <w:sz w:val="22"/>
        </w:rPr>
        <w:t>June 9, 2026 — UK NHS Contract Review:</w:t>
      </w:r>
      <w:r>
        <w:rPr>
          <w:rFonts w:ascii="Calibri" w:hAnsi="Calibri"/>
          <w:color w:val="525866"/>
          <w:sz w:val="22"/>
        </w:rPr>
        <w:t xml:space="preserve"> Britain announced a full review of its £330M ($441M) NHS contract with Palantir, with Technology Minister Liz Kendall citing concerns about patient confidentiality, public trust, and reliance on a U.S. supplier. A parliamentary committee urged triggering the break clause. Implication: Meaningful international government revenue risk; contract runs to early 2027 with extension/termination decision pending; London Mayor also blocked a £50M police contract.</w:t>
      </w:r>
    </w:p>
    <w:p>
      <w:pPr>
        <w:pStyle w:val="ListBullet"/>
        <w:ind w:left="360" w:hanging="360"/>
      </w:pPr>
      <w:r>
        <w:rPr>
          <w:rFonts w:ascii="Calibri" w:hAnsi="Calibri"/>
          <w:b/>
          <w:color w:val="525866"/>
          <w:sz w:val="22"/>
        </w:rPr>
        <w:t>June 4, 2026 — AIPCon 10:</w:t>
      </w:r>
      <w:r>
        <w:rPr>
          <w:rFonts w:ascii="Calibri" w:hAnsi="Calibri"/>
          <w:color w:val="525866"/>
          <w:sz w:val="22"/>
        </w:rPr>
        <w:t xml:space="preserve"> Palantir hosted its 10th AIPCon event, featuring customer-led demos of Foundry, AIP, Ontology, and Apollo in production. Customers included Kirkland &amp; Ellis, McCarthy Building, USDA, Hertz, Nscale, Accenture, and Parts Town. Implication: Broad-based enterprise adoption signal across verticals; many customers sharing publicly for the first time, suggesting deepening platform penetration.</w:t>
      </w:r>
    </w:p>
    <w:p>
      <w:pPr>
        <w:pStyle w:val="ListBullet"/>
        <w:ind w:left="360" w:hanging="360"/>
      </w:pPr>
      <w:r>
        <w:rPr>
          <w:rFonts w:ascii="Calibri" w:hAnsi="Calibri"/>
          <w:b/>
          <w:color w:val="525866"/>
          <w:sz w:val="22"/>
        </w:rPr>
        <w:t>June 3, 2026 — Shareholder Vote on Human Rights Proposals:</w:t>
      </w:r>
      <w:r>
        <w:rPr>
          <w:rFonts w:ascii="Calibri" w:hAnsi="Calibri"/>
          <w:color w:val="525866"/>
          <w:sz w:val="22"/>
        </w:rPr>
        <w:t xml:space="preserve"> Palantir shareholders voted down proposals for independent human rights reports on its software. Insider voting power ensured defeat. Implication: Removes near-term governance overhang; no material financial impact.</w:t>
      </w:r>
    </w:p>
    <w:p>
      <w:pPr>
        <w:pStyle w:val="ListBullet"/>
        <w:ind w:left="360" w:hanging="360"/>
      </w:pPr>
      <w:r>
        <w:rPr>
          <w:rFonts w:ascii="Calibri" w:hAnsi="Calibri"/>
          <w:b/>
          <w:color w:val="525866"/>
          <w:sz w:val="22"/>
        </w:rPr>
        <w:t>May 29, 2026 — Software Sector Rally (+9.1% single-day):</w:t>
      </w:r>
      <w:r>
        <w:rPr>
          <w:rFonts w:ascii="Calibri" w:hAnsi="Calibri"/>
          <w:color w:val="525866"/>
          <w:sz w:val="22"/>
        </w:rPr>
        <w:t xml:space="preserve"> PLTR surged 9.1% — its best day in over a year — driven by a broader software rally sparked by Snowflake’s strong earnings and AI-driven Cortex Code. Implication: Confirms PLTR trades with software sector sentiment; Snowflake’s AI data platform strength is a positive read-through for enterprise AI demand.</w:t>
      </w:r>
    </w:p>
    <w:p>
      <w:r>
        <w:br w:type="page"/>
      </w:r>
    </w:p>
    <w:p>
      <w:pPr>
        <w:pStyle w:val="Heading2"/>
      </w:pPr>
      <w:r>
        <w:rPr>
          <w:rFonts w:ascii="Calibri" w:hAnsi="Calibri"/>
          <w:b/>
          <w:color w:val="3B4259"/>
          <w:sz w:val="28"/>
        </w:rPr>
        <w:t>7. Peer Commentary Read-Throughs (Last 60 Days)</w:t>
      </w:r>
    </w:p>
    <w:p>
      <w:r>
        <w:rPr>
          <w:rFonts w:ascii="Calibri" w:hAnsi="Calibri"/>
          <w:b/>
          <w:color w:val="525866"/>
          <w:sz w:val="22"/>
        </w:rPr>
        <w:t xml:space="preserve">Key Takeaway: </w:t>
      </w:r>
      <w:r>
        <w:rPr>
          <w:rFonts w:ascii="Calibri" w:hAnsi="Calibri"/>
          <w:color w:val="525866"/>
          <w:sz w:val="22"/>
        </w:rPr>
        <w:t xml:space="preserve">Peer commentary from Oracle (Q4 FY26 call, June 10), ServiceNow (Q2 2026 call, July 22), CrowdStrike (Q1 FY27 call, June 3), and Adobe (Q2 FY26 call, June 11) all point to </w:t>
      </w:r>
      <w:r>
        <w:rPr>
          <w:rFonts w:ascii="Calibri" w:hAnsi="Calibri"/>
          <w:b/>
          <w:color w:val="525866"/>
          <w:sz w:val="22"/>
        </w:rPr>
        <w:t>accelerating enterprise AI demand, no deal cycle elongation, and expanding customer budgets for AI platforms</w:t>
      </w:r>
      <w:r>
        <w:rPr>
          <w:rFonts w:ascii="Calibri" w:hAnsi="Calibri"/>
          <w:color w:val="525866"/>
          <w:sz w:val="22"/>
        </w:rPr>
        <w:t xml:space="preserve"> — a uniformly positive read-through for PLTR’s Q2 2026 U.S. Commercial and Government revenue.</w:t>
      </w:r>
    </w:p>
    <w:p>
      <w:r>
        <w:rPr>
          <w:rFonts w:ascii="Calibri" w:hAnsi="Calibri"/>
          <w:b/>
          <w:color w:val="525866"/>
          <w:sz w:val="22"/>
        </w:rPr>
        <w:t xml:space="preserve">Note on methodology: </w:t>
      </w:r>
      <w:r>
        <w:rPr>
          <w:rFonts w:ascii="Calibri" w:hAnsi="Calibri"/>
          <w:color w:val="525866"/>
          <w:sz w:val="22"/>
        </w:rPr>
        <w:t>Only commentary about each peer’s then-current or future reporting quarter is included below. Retrospective prior-quarter results discussion has been excluded. All peers reported within the last 60 days (June 3 – July 22, 2026).</w:t>
      </w:r>
    </w:p>
    <w:p>
      <w:pPr>
        <w:pStyle w:val="Heading3"/>
      </w:pPr>
      <w:r>
        <w:rPr>
          <w:rFonts w:ascii="Calibri" w:hAnsi="Calibri"/>
          <w:b/>
          <w:color w:val="3B4259"/>
          <w:sz w:val="24"/>
        </w:rPr>
        <w:t>7.1 ServiceNow (NOW) — Q2 2026 Earnings Call (July 22, 2026)</w:t>
      </w:r>
    </w:p>
    <w:p>
      <w:r>
        <w:rPr>
          <w:rFonts w:ascii="Calibri" w:hAnsi="Calibri"/>
          <w:b/>
          <w:color w:val="525866"/>
          <w:sz w:val="22"/>
        </w:rPr>
        <w:t xml:space="preserve">Read-Through Direction: </w:t>
      </w:r>
      <w:r>
        <w:rPr>
          <w:rFonts w:ascii="Calibri" w:hAnsi="Calibri"/>
          <w:b/>
          <w:color w:val="30A46C"/>
          <w:sz w:val="22"/>
        </w:rPr>
        <w:t>POSITIVE</w:t>
      </w:r>
    </w:p>
    <w:p>
      <w:r>
        <w:rPr>
          <w:rFonts w:ascii="Calibri" w:hAnsi="Calibri"/>
          <w:b/>
          <w:color w:val="525866"/>
          <w:sz w:val="22"/>
        </w:rPr>
        <w:t xml:space="preserve">Relevance to PLTR: </w:t>
      </w:r>
      <w:r>
        <w:rPr>
          <w:rFonts w:ascii="Calibri" w:hAnsi="Calibri"/>
          <w:color w:val="525866"/>
          <w:sz w:val="22"/>
        </w:rPr>
        <w:t>ServiceNow is the closest enterprise AI platform peer to Palantir in terms of agentic AI deployment, government exposure, and platform-native governance. NOW’s Q2 commentary about its then-current quarter (Q3 2026 guidance) and forward demand signals are directly applicable to PLTR’s Q2 2026 setup.</w:t>
      </w:r>
    </w:p>
    <w:p>
      <w:pPr>
        <w:pStyle w:val="ListBullet"/>
        <w:ind w:left="360" w:hanging="360"/>
      </w:pPr>
      <w:r>
        <w:rPr>
          <w:rFonts w:ascii="Calibri" w:hAnsi="Calibri"/>
          <w:b/>
          <w:color w:val="525866"/>
          <w:sz w:val="22"/>
        </w:rPr>
        <w:t xml:space="preserve">Enterprise AI demand at inflection: </w:t>
      </w:r>
      <w:r>
        <w:rPr>
          <w:rFonts w:ascii="Calibri" w:hAnsi="Calibri"/>
          <w:color w:val="525866"/>
          <w:sz w:val="22"/>
        </w:rPr>
        <w:t xml:space="preserve">"Customer deployment of AI has already marked an inflection point for ServiceNow growth." IDC forecasts AI software spending to grow 53% this year, 17% faster than AI hardware. The percentage of renewal customers purchasing Agentic AI for the first time doubled QoQ and YoY. Customers with Agentic AI in production grew 9x over the last 9 months. → </w:t>
      </w:r>
      <w:r>
        <w:rPr>
          <w:rFonts w:ascii="Calibri" w:hAnsi="Calibri"/>
          <w:i/>
          <w:color w:val="525866"/>
          <w:sz w:val="22"/>
        </w:rPr>
        <w:t>PLTR read-through: Validates accelerating enterprise AI adoption velocity; AIP’s agentic platform is directly positioned in this wave.</w:t>
      </w:r>
    </w:p>
    <w:p>
      <w:pPr>
        <w:pStyle w:val="ListBullet"/>
        <w:ind w:left="360" w:hanging="360"/>
      </w:pPr>
      <w:r>
        <w:rPr>
          <w:rFonts w:ascii="Calibri" w:hAnsi="Calibri"/>
          <w:b/>
          <w:color w:val="525866"/>
          <w:sz w:val="22"/>
        </w:rPr>
        <w:t xml:space="preserve">No deal cycle elongation: </w:t>
      </w:r>
      <w:r>
        <w:rPr>
          <w:rFonts w:ascii="Calibri" w:hAnsi="Calibri"/>
          <w:color w:val="525866"/>
          <w:sz w:val="22"/>
        </w:rPr>
        <w:t xml:space="preserve">CEO Bill McDermott: "I have not seen any change [in buying cycles]. If I’ve seen any change, it’s on the positive." Contract durations are actually elongating, with RPO ending at ~$29B (+22% YoY CC). → </w:t>
      </w:r>
      <w:r>
        <w:rPr>
          <w:rFonts w:ascii="Calibri" w:hAnsi="Calibri"/>
          <w:i/>
          <w:color w:val="525866"/>
          <w:sz w:val="22"/>
        </w:rPr>
        <w:t>PLTR read-through: Removes a key bear concern; enterprise AI deal cycles are not slowing, consistent with PLTR’s own TCV bookings trajectory.</w:t>
      </w:r>
    </w:p>
    <w:p>
      <w:pPr>
        <w:pStyle w:val="ListBullet"/>
        <w:ind w:left="360" w:hanging="360"/>
      </w:pPr>
      <w:r>
        <w:rPr>
          <w:rFonts w:ascii="Calibri" w:hAnsi="Calibri"/>
          <w:b/>
          <w:color w:val="525866"/>
          <w:sz w:val="22"/>
        </w:rPr>
        <w:t xml:space="preserve">U.S. Federal demand strongest ever: </w:t>
      </w:r>
      <w:r>
        <w:rPr>
          <w:rFonts w:ascii="Calibri" w:hAnsi="Calibri"/>
          <w:color w:val="525866"/>
          <w:sz w:val="22"/>
        </w:rPr>
        <w:t xml:space="preserve">"The government business has never been stronger." Strong U.S. federal demand drove Q2 outperformance. → </w:t>
      </w:r>
      <w:r>
        <w:rPr>
          <w:rFonts w:ascii="Calibri" w:hAnsi="Calibri"/>
          <w:i/>
          <w:color w:val="525866"/>
          <w:sz w:val="22"/>
        </w:rPr>
        <w:t>PLTR read-through: Directly positive for PLTR’s U.S. Government segment, which grew 84% YoY in Q1 2026.</w:t>
      </w:r>
    </w:p>
    <w:p>
      <w:pPr>
        <w:pStyle w:val="ListBullet"/>
        <w:ind w:left="360" w:hanging="360"/>
      </w:pPr>
      <w:r>
        <w:rPr>
          <w:rFonts w:ascii="Calibri" w:hAnsi="Calibri"/>
          <w:b/>
          <w:color w:val="525866"/>
          <w:sz w:val="22"/>
        </w:rPr>
        <w:t xml:space="preserve">AI ACV crossing $1B, growing 40%+ QoQ: </w:t>
      </w:r>
      <w:r>
        <w:rPr>
          <w:rFonts w:ascii="Calibri" w:hAnsi="Calibri"/>
          <w:color w:val="525866"/>
          <w:sz w:val="22"/>
        </w:rPr>
        <w:t xml:space="preserve">ServiceNow AI ACV crossed $1B with net new ACV growth accelerating sequentially, growing over 40% QoQ. Tracking ahead of target for AI to reach 30% of ACV by 2030. → </w:t>
      </w:r>
      <w:r>
        <w:rPr>
          <w:rFonts w:ascii="Calibri" w:hAnsi="Calibri"/>
          <w:i/>
          <w:color w:val="525866"/>
          <w:sz w:val="22"/>
        </w:rPr>
        <w:t>PLTR read-through: Confirms enterprise willingness to pay for AI platform capabilities at scale; supports PLTR’s U.S. Commercial TCV bookings trajectory.</w:t>
      </w:r>
    </w:p>
    <w:p>
      <w:pPr>
        <w:pStyle w:val="ListBullet"/>
        <w:ind w:left="360" w:hanging="360"/>
      </w:pPr>
      <w:r>
        <w:rPr>
          <w:rFonts w:ascii="Calibri" w:hAnsi="Calibri"/>
          <w:b/>
          <w:color w:val="525866"/>
          <w:sz w:val="22"/>
        </w:rPr>
        <w:t xml:space="preserve">Q3 2026 guidance raised: </w:t>
      </w:r>
      <w:r>
        <w:rPr>
          <w:rFonts w:ascii="Calibri" w:hAnsi="Calibri"/>
          <w:color w:val="525866"/>
          <w:sz w:val="22"/>
        </w:rPr>
        <w:t xml:space="preserve">NOW raised full-year subscription revenue guidance by $15M at midpoint to $15.770B (+21% YoY CC). Q3 subscription revenue guided to $3.975–$3.980B (+20% YoY CC). → </w:t>
      </w:r>
      <w:r>
        <w:rPr>
          <w:rFonts w:ascii="Calibri" w:hAnsi="Calibri"/>
          <w:i/>
          <w:color w:val="525866"/>
          <w:sz w:val="22"/>
        </w:rPr>
        <w:t>PLTR read-through: Peer raising guidance into Q3 is a positive signal for the enterprise software demand environment.</w:t>
      </w:r>
    </w:p>
    <w:p>
      <w:pPr>
        <w:pStyle w:val="Heading3"/>
      </w:pPr>
      <w:r>
        <w:rPr>
          <w:rFonts w:ascii="Calibri" w:hAnsi="Calibri"/>
          <w:b/>
          <w:color w:val="3B4259"/>
          <w:sz w:val="24"/>
        </w:rPr>
        <w:t>7.2 Oracle (ORCL) — Q4 FY2026 Earnings Call (June 10, 2026)</w:t>
      </w:r>
    </w:p>
    <w:p>
      <w:r>
        <w:rPr>
          <w:rFonts w:ascii="Calibri" w:hAnsi="Calibri"/>
          <w:b/>
          <w:color w:val="525866"/>
          <w:sz w:val="22"/>
        </w:rPr>
        <w:t xml:space="preserve">Read-Through Direction: </w:t>
      </w:r>
      <w:r>
        <w:rPr>
          <w:rFonts w:ascii="Calibri" w:hAnsi="Calibri"/>
          <w:b/>
          <w:color w:val="30A46C"/>
          <w:sz w:val="22"/>
        </w:rPr>
        <w:t>POSITIVE</w:t>
      </w:r>
    </w:p>
    <w:p>
      <w:r>
        <w:rPr>
          <w:rFonts w:ascii="Calibri" w:hAnsi="Calibri"/>
          <w:b/>
          <w:color w:val="525866"/>
          <w:sz w:val="22"/>
        </w:rPr>
        <w:t xml:space="preserve">Relevance to PLTR: </w:t>
      </w:r>
      <w:r>
        <w:rPr>
          <w:rFonts w:ascii="Calibri" w:hAnsi="Calibri"/>
          <w:color w:val="525866"/>
          <w:sz w:val="22"/>
        </w:rPr>
        <w:t>Oracle’s Q4 FY26 call (reporting its quarter ended May 31, 2026) provided forward guidance for Q1 FY27 and commentary on enterprise AI demand that overlaps with PLTR’s Q2 2026 reporting period. Oracle’s enterprise customer base and government exposure make it a meaningful read-through for PLTR’s commercial and government segments.</w:t>
      </w:r>
    </w:p>
    <w:p>
      <w:pPr>
        <w:pStyle w:val="ListBullet"/>
        <w:ind w:left="360" w:hanging="360"/>
      </w:pPr>
      <w:r>
        <w:rPr>
          <w:rFonts w:ascii="Calibri" w:hAnsi="Calibri"/>
          <w:b/>
          <w:color w:val="525866"/>
          <w:sz w:val="22"/>
        </w:rPr>
        <w:t xml:space="preserve">Customers past the AI experimentation stage: </w:t>
      </w:r>
      <w:r>
        <w:rPr>
          <w:rFonts w:ascii="Calibri" w:hAnsi="Calibri"/>
          <w:color w:val="525866"/>
          <w:sz w:val="22"/>
        </w:rPr>
        <w:t xml:space="preserve">"Our customers have moved past the experimental stage of AI. They are ready to implement enterprise-grade, complete solutions to help run their businesses." Customers focused on AI to "increase productivity, enhance customer service, and create real competitive advantages." → </w:t>
      </w:r>
      <w:r>
        <w:rPr>
          <w:rFonts w:ascii="Calibri" w:hAnsi="Calibri"/>
          <w:i/>
          <w:color w:val="525866"/>
          <w:sz w:val="22"/>
        </w:rPr>
        <w:t>PLTR read-through: Directly validates PLTR’s thesis that enterprise AI is moving from pilot to production — the core driver of AIP’s commercial acceleration.</w:t>
      </w:r>
    </w:p>
    <w:p>
      <w:pPr>
        <w:pStyle w:val="ListBullet"/>
        <w:ind w:left="360" w:hanging="360"/>
      </w:pPr>
      <w:r>
        <w:rPr>
          <w:rFonts w:ascii="Calibri" w:hAnsi="Calibri"/>
          <w:b/>
          <w:color w:val="525866"/>
          <w:sz w:val="22"/>
        </w:rPr>
        <w:t xml:space="preserve">Demand massively exceeds supply: </w:t>
      </w:r>
      <w:r>
        <w:rPr>
          <w:rFonts w:ascii="Calibri" w:hAnsi="Calibri"/>
          <w:color w:val="525866"/>
          <w:sz w:val="22"/>
        </w:rPr>
        <w:t xml:space="preserve">"There’s still a massively higher demand than there is supply" for AI infrastructure. Market size estimated at "trillions of dollars per year." → </w:t>
      </w:r>
      <w:r>
        <w:rPr>
          <w:rFonts w:ascii="Calibri" w:hAnsi="Calibri"/>
          <w:i/>
          <w:color w:val="525866"/>
          <w:sz w:val="22"/>
        </w:rPr>
        <w:t>PLTR read-through: Supports PLTR management’s own framing that "we just cannot meet demand" in the U.S.</w:t>
      </w:r>
    </w:p>
    <w:p>
      <w:pPr>
        <w:pStyle w:val="ListBullet"/>
        <w:ind w:left="360" w:hanging="360"/>
      </w:pPr>
      <w:r>
        <w:rPr>
          <w:rFonts w:ascii="Calibri" w:hAnsi="Calibri"/>
          <w:b/>
          <w:color w:val="525866"/>
          <w:sz w:val="22"/>
        </w:rPr>
        <w:t xml:space="preserve">Deal cycle delays have resolved: </w:t>
      </w:r>
      <w:r>
        <w:rPr>
          <w:rFonts w:ascii="Calibri" w:hAnsi="Calibri"/>
          <w:color w:val="525866"/>
          <w:sz w:val="22"/>
        </w:rPr>
        <w:t xml:space="preserve">"A couple quarters ago, there were some delayed decision cycles out there... People have quickly moved on to that and realized that enterprise software... is necessary to move forward for the modernization and protection of their businesses." → </w:t>
      </w:r>
      <w:r>
        <w:rPr>
          <w:rFonts w:ascii="Calibri" w:hAnsi="Calibri"/>
          <w:i/>
          <w:color w:val="525866"/>
          <w:sz w:val="22"/>
        </w:rPr>
        <w:t>PLTR read-through: Removes a prior bear concern about enterprise software deal elongation; consistent with PLTR’s accelerating TCV bookings.</w:t>
      </w:r>
    </w:p>
    <w:p>
      <w:pPr>
        <w:pStyle w:val="ListBullet"/>
        <w:ind w:left="360" w:hanging="360"/>
      </w:pPr>
      <w:r>
        <w:rPr>
          <w:rFonts w:ascii="Calibri" w:hAnsi="Calibri"/>
          <w:b/>
          <w:color w:val="525866"/>
          <w:sz w:val="22"/>
        </w:rPr>
        <w:t xml:space="preserve">Record RPO of $638B (+363% YoY): </w:t>
      </w:r>
      <w:r>
        <w:rPr>
          <w:rFonts w:ascii="Calibri" w:hAnsi="Calibri"/>
          <w:color w:val="525866"/>
          <w:sz w:val="22"/>
        </w:rPr>
        <w:t xml:space="preserve">Oracle’s RPO reached a record $638B, up 363% YoY, providing "exceptional visibility into future revenue growth." → </w:t>
      </w:r>
      <w:r>
        <w:rPr>
          <w:rFonts w:ascii="Calibri" w:hAnsi="Calibri"/>
          <w:i/>
          <w:color w:val="525866"/>
          <w:sz w:val="22"/>
        </w:rPr>
        <w:t>PLTR read-through: Confirms enterprise customers are making long-term AI infrastructure commitments; PLTR’s own RPO grew 134% YoY to $4.5B in Q1 2026.</w:t>
      </w:r>
    </w:p>
    <w:p>
      <w:pPr>
        <w:pStyle w:val="ListBullet"/>
        <w:ind w:left="360" w:hanging="360"/>
      </w:pPr>
      <w:r>
        <w:rPr>
          <w:rFonts w:ascii="Calibri" w:hAnsi="Calibri"/>
          <w:b/>
          <w:color w:val="525866"/>
          <w:sz w:val="22"/>
        </w:rPr>
        <w:t xml:space="preserve">Q1 FY27 cloud revenue guided +58–64% YoY: </w:t>
      </w:r>
      <w:r>
        <w:rPr>
          <w:rFonts w:ascii="Calibri" w:hAnsi="Calibri"/>
          <w:color w:val="525866"/>
          <w:sz w:val="22"/>
        </w:rPr>
        <w:t xml:space="preserve">Oracle guided Q1 FY27 total revenue growth of 27–29% and cloud revenue growth of 58–64% YoY. → </w:t>
      </w:r>
      <w:r>
        <w:rPr>
          <w:rFonts w:ascii="Calibri" w:hAnsi="Calibri"/>
          <w:i/>
          <w:color w:val="525866"/>
          <w:sz w:val="22"/>
        </w:rPr>
        <w:t>PLTR read-through: Cloud/AI platform demand acceleration is broad-based across enterprise software vendors.</w:t>
      </w:r>
    </w:p>
    <w:p>
      <w:pPr>
        <w:pStyle w:val="Heading3"/>
      </w:pPr>
      <w:r>
        <w:rPr>
          <w:rFonts w:ascii="Calibri" w:hAnsi="Calibri"/>
          <w:b/>
          <w:color w:val="3B4259"/>
          <w:sz w:val="24"/>
        </w:rPr>
        <w:t>7.3 CrowdStrike (CRWD) — Q1 FY2027 Earnings Call (June 3, 2026)</w:t>
      </w:r>
    </w:p>
    <w:p>
      <w:r>
        <w:rPr>
          <w:rFonts w:ascii="Calibri" w:hAnsi="Calibri"/>
          <w:b/>
          <w:color w:val="525866"/>
          <w:sz w:val="22"/>
        </w:rPr>
        <w:t xml:space="preserve">Read-Through Direction: </w:t>
      </w:r>
      <w:r>
        <w:rPr>
          <w:rFonts w:ascii="Calibri" w:hAnsi="Calibri"/>
          <w:b/>
          <w:color w:val="30A46C"/>
          <w:sz w:val="22"/>
        </w:rPr>
        <w:t>POSITIVE</w:t>
      </w:r>
    </w:p>
    <w:p>
      <w:r>
        <w:rPr>
          <w:rFonts w:ascii="Calibri" w:hAnsi="Calibri"/>
          <w:b/>
          <w:color w:val="525866"/>
          <w:sz w:val="22"/>
        </w:rPr>
        <w:t xml:space="preserve">Relevance to PLTR: </w:t>
      </w:r>
      <w:r>
        <w:rPr>
          <w:rFonts w:ascii="Calibri" w:hAnsi="Calibri"/>
          <w:color w:val="525866"/>
          <w:sz w:val="22"/>
        </w:rPr>
        <w:t>CrowdStrike’s Q1 FY27 call (reporting its quarter ended April 30, 2026) provided guidance for Q2 FY27 and full-year FY27, with extensive commentary on enterprise AI adoption and cybersecurity demand that directly overlaps with PLTR’s Apollo cybersecurity platform and AIP governance narrative.</w:t>
      </w:r>
    </w:p>
    <w:p>
      <w:pPr>
        <w:pStyle w:val="ListBullet"/>
        <w:ind w:left="360" w:hanging="360"/>
      </w:pPr>
      <w:r>
        <w:rPr>
          <w:rFonts w:ascii="Calibri" w:hAnsi="Calibri"/>
          <w:b/>
          <w:color w:val="525866"/>
          <w:sz w:val="22"/>
        </w:rPr>
        <w:t xml:space="preserve">AI adoption is existential — and it requires security: </w:t>
      </w:r>
      <w:r>
        <w:rPr>
          <w:rFonts w:ascii="Calibri" w:hAnsi="Calibri"/>
          <w:color w:val="525866"/>
          <w:sz w:val="22"/>
        </w:rPr>
        <w:t xml:space="preserve">"AI adoption is not a nice to have. It’s an existential imperative across every geography and vertical." "The more AI an organization adopts, the more cybersecurity it requires." → </w:t>
      </w:r>
      <w:r>
        <w:rPr>
          <w:rFonts w:ascii="Calibri" w:hAnsi="Calibri"/>
          <w:i/>
          <w:color w:val="525866"/>
          <w:sz w:val="22"/>
        </w:rPr>
        <w:t>PLTR read-through: Directly validates PLTR’s Apollo cybersecurity expansion thesis and the Jevons Paradox framework (more AI → more attack surface → more Apollo demand).</w:t>
      </w:r>
    </w:p>
    <w:p>
      <w:pPr>
        <w:pStyle w:val="ListBullet"/>
        <w:ind w:left="360" w:hanging="360"/>
      </w:pPr>
      <w:r>
        <w:rPr>
          <w:rFonts w:ascii="Calibri" w:hAnsi="Calibri"/>
          <w:b/>
          <w:color w:val="525866"/>
          <w:sz w:val="22"/>
        </w:rPr>
        <w:t xml:space="preserve">AI security demand unprecedented — fastest adoption in CRWD history: </w:t>
      </w:r>
      <w:r>
        <w:rPr>
          <w:rFonts w:ascii="Calibri" w:hAnsi="Calibri"/>
          <w:color w:val="525866"/>
          <w:sz w:val="22"/>
        </w:rPr>
        <w:t xml:space="preserve">CRWD’s AIDR (AI Detection and Response) product saw ending ARR grow 250%+ sequentially with Q2 pipeline already exceeding $50M. CEO: "In my career, I’ve never seen adoption happen this fast." → </w:t>
      </w:r>
      <w:r>
        <w:rPr>
          <w:rFonts w:ascii="Calibri" w:hAnsi="Calibri"/>
          <w:i/>
          <w:color w:val="525866"/>
          <w:sz w:val="22"/>
        </w:rPr>
        <w:t>PLTR read-through: Confirms the AI security market is inflecting rapidly; PLTR’s Apollo zero-day discovery capability is positioned in the same wave.</w:t>
      </w:r>
    </w:p>
    <w:p>
      <w:pPr>
        <w:pStyle w:val="ListBullet"/>
        <w:ind w:left="360" w:hanging="360"/>
      </w:pPr>
      <w:r>
        <w:rPr>
          <w:rFonts w:ascii="Calibri" w:hAnsi="Calibri"/>
          <w:b/>
          <w:color w:val="525866"/>
          <w:sz w:val="22"/>
        </w:rPr>
        <w:t xml:space="preserve">Customers want to deploy AI faster but are held back by security: </w:t>
      </w:r>
      <w:r>
        <w:rPr>
          <w:rFonts w:ascii="Calibri" w:hAnsi="Calibri"/>
          <w:color w:val="525866"/>
          <w:sz w:val="22"/>
        </w:rPr>
        <w:t xml:space="preserve">"There are a lot of customers that want to deploy more AI, but they’re actually being held back because they don’t have the right visibility, security controls." Customers explicitly saying: "We need to solve the security issue because we want to deploy AI faster." → </w:t>
      </w:r>
      <w:r>
        <w:rPr>
          <w:rFonts w:ascii="Calibri" w:hAnsi="Calibri"/>
          <w:i/>
          <w:color w:val="525866"/>
          <w:sz w:val="22"/>
        </w:rPr>
        <w:t>PLTR read-through: Validates PLTR’s AIP ‘no slop zone’ governance positioning as the enabler of safe AI deployment.</w:t>
      </w:r>
    </w:p>
    <w:p>
      <w:pPr>
        <w:pStyle w:val="ListBullet"/>
        <w:ind w:left="360" w:hanging="360"/>
      </w:pPr>
      <w:r>
        <w:rPr>
          <w:rFonts w:ascii="Calibri" w:hAnsi="Calibri"/>
          <w:b/>
          <w:color w:val="525866"/>
          <w:sz w:val="22"/>
        </w:rPr>
        <w:t xml:space="preserve">FY27 net new ARR growth raised 520 bps: </w:t>
      </w:r>
      <w:r>
        <w:rPr>
          <w:rFonts w:ascii="Calibri" w:hAnsi="Calibri"/>
          <w:color w:val="525866"/>
          <w:sz w:val="22"/>
        </w:rPr>
        <w:t xml:space="preserve">CRWD raised full-year FY27 net new ARR growth expectations by more than 500 bps, now expecting net new ARR growth to accelerate over FY26. Q2 FY27 total revenue guided to $1.436–$1.442B (+23% YoY). → </w:t>
      </w:r>
      <w:r>
        <w:rPr>
          <w:rFonts w:ascii="Calibri" w:hAnsi="Calibri"/>
          <w:i/>
          <w:color w:val="525866"/>
          <w:sz w:val="22"/>
        </w:rPr>
        <w:t>PLTR read-through: Peer raising guidance into the same demand environment is a positive signal for PLTR’s own Q2 beat-and-raise potential.</w:t>
      </w:r>
    </w:p>
    <w:p>
      <w:pPr>
        <w:pStyle w:val="ListBullet"/>
        <w:ind w:left="360" w:hanging="360"/>
      </w:pPr>
      <w:r>
        <w:rPr>
          <w:rFonts w:ascii="Calibri" w:hAnsi="Calibri"/>
          <w:b/>
          <w:color w:val="525866"/>
          <w:sz w:val="22"/>
        </w:rPr>
        <w:t xml:space="preserve">U.S. federal demand strong; AI security is a ‘Y2K moment’: </w:t>
      </w:r>
      <w:r>
        <w:rPr>
          <w:rFonts w:ascii="Calibri" w:hAnsi="Calibri"/>
          <w:color w:val="525866"/>
          <w:sz w:val="22"/>
        </w:rPr>
        <w:t xml:space="preserve">"CEO after CEO called their CISOs on the weekend saying, is this thing really a problem?" The Mythos event created a "deluge of customer, prospect and partner inquiries." → </w:t>
      </w:r>
      <w:r>
        <w:rPr>
          <w:rFonts w:ascii="Calibri" w:hAnsi="Calibri"/>
          <w:i/>
          <w:color w:val="525866"/>
          <w:sz w:val="22"/>
        </w:rPr>
        <w:t>PLTR read-through: Elevated C-suite urgency around AI security is a tailwind for PLTR’s government and commercial AI governance platform.</w:t>
      </w:r>
    </w:p>
    <w:p>
      <w:pPr>
        <w:pStyle w:val="Heading3"/>
      </w:pPr>
      <w:r>
        <w:rPr>
          <w:rFonts w:ascii="Calibri" w:hAnsi="Calibri"/>
          <w:b/>
          <w:color w:val="3B4259"/>
          <w:sz w:val="24"/>
        </w:rPr>
        <w:t>7.4 Adobe (ADBE) — Q2 FY2026 Earnings Call (June 11, 2026)</w:t>
      </w:r>
    </w:p>
    <w:p>
      <w:r>
        <w:rPr>
          <w:rFonts w:ascii="Calibri" w:hAnsi="Calibri"/>
          <w:b/>
          <w:color w:val="525866"/>
          <w:sz w:val="22"/>
        </w:rPr>
        <w:t xml:space="preserve">Read-Through Direction: </w:t>
      </w:r>
      <w:r>
        <w:rPr>
          <w:rFonts w:ascii="Calibri" w:hAnsi="Calibri"/>
          <w:b/>
          <w:color w:val="002FA7"/>
          <w:sz w:val="22"/>
        </w:rPr>
        <w:t>MIXED</w:t>
      </w:r>
    </w:p>
    <w:p>
      <w:r>
        <w:rPr>
          <w:rFonts w:ascii="Calibri" w:hAnsi="Calibri"/>
          <w:b/>
          <w:color w:val="525866"/>
          <w:sz w:val="22"/>
        </w:rPr>
        <w:t xml:space="preserve">Relevance to PLTR: </w:t>
      </w:r>
      <w:r>
        <w:rPr>
          <w:rFonts w:ascii="Calibri" w:hAnsi="Calibri"/>
          <w:color w:val="525866"/>
          <w:sz w:val="22"/>
        </w:rPr>
        <w:t>Adobe’s Q2 FY26 call (reporting its quarter ended May 30, 2026) provided guidance for Q3 FY26 and commentary on enterprise AI demand and customer budget dynamics. Adobe is less directly comparable to PLTR than NOW or CRWD, but its enterprise AI commentary and customer budget observations are relevant to the broader demand environment.</w:t>
      </w:r>
    </w:p>
    <w:p>
      <w:pPr>
        <w:pStyle w:val="ListBullet"/>
        <w:ind w:left="360" w:hanging="360"/>
      </w:pPr>
      <w:r>
        <w:rPr>
          <w:rFonts w:ascii="Calibri" w:hAnsi="Calibri"/>
          <w:b/>
          <w:color w:val="525866"/>
          <w:sz w:val="22"/>
        </w:rPr>
        <w:t xml:space="preserve">AI accelerating customer behavior at unprecedented speed (Positive): </w:t>
      </w:r>
      <w:r>
        <w:rPr>
          <w:rFonts w:ascii="Calibri" w:hAnsi="Calibri"/>
          <w:color w:val="525866"/>
          <w:sz w:val="22"/>
        </w:rPr>
        <w:t xml:space="preserve">CEO Shantanu: "AI is accelerating customer behavior at an unprecedented speed." "Unprecedented demand across additional surfaces for the combination of content consumption and content creation." AI continued to be a tailwind for the enterprise business. → </w:t>
      </w:r>
      <w:r>
        <w:rPr>
          <w:rFonts w:ascii="Calibri" w:hAnsi="Calibri"/>
          <w:i/>
          <w:color w:val="525866"/>
          <w:sz w:val="22"/>
        </w:rPr>
        <w:t>PLTR read-through: Broad-based enterprise AI demand acceleration is positive for PLTR’s commercial pipeline.</w:t>
      </w:r>
    </w:p>
    <w:p>
      <w:pPr>
        <w:pStyle w:val="ListBullet"/>
        <w:ind w:left="360" w:hanging="360"/>
      </w:pPr>
      <w:r>
        <w:rPr>
          <w:rFonts w:ascii="Calibri" w:hAnsi="Calibri"/>
          <w:b/>
          <w:color w:val="525866"/>
          <w:sz w:val="22"/>
        </w:rPr>
        <w:t xml:space="preserve">Freemium strategy sacrifices near-term revenue for long-term share (Cautious): </w:t>
      </w:r>
      <w:r>
        <w:rPr>
          <w:rFonts w:ascii="Calibri" w:hAnsi="Calibri"/>
          <w:color w:val="525866"/>
          <w:sz w:val="22"/>
        </w:rPr>
        <w:t xml:space="preserve">Adobe made a strategic decision to prioritize freemium customer acquisition over near-term individual subscriber revenue (IRR), explicitly noting this "will come at the cost of short-term IRR." → </w:t>
      </w:r>
      <w:r>
        <w:rPr>
          <w:rFonts w:ascii="Calibri" w:hAnsi="Calibri"/>
          <w:i/>
          <w:color w:val="525866"/>
          <w:sz w:val="22"/>
        </w:rPr>
        <w:t>PLTR read-through: Highlights that some enterprise AI vendors are prioritizing market share over near-term monetization — a dynamic that could affect customer budget allocation across the AI software landscape, though PLTR’s government and enterprise contracts are less exposed to this dynamic.</w:t>
      </w:r>
    </w:p>
    <w:p>
      <w:pPr>
        <w:pStyle w:val="ListBullet"/>
        <w:ind w:left="360" w:hanging="360"/>
      </w:pPr>
      <w:r>
        <w:rPr>
          <w:rFonts w:ascii="Calibri" w:hAnsi="Calibri"/>
          <w:b/>
          <w:color w:val="525866"/>
          <w:sz w:val="22"/>
        </w:rPr>
        <w:t xml:space="preserve">Q3 FY26 guidance assumes current macro conditions: </w:t>
      </w:r>
      <w:r>
        <w:rPr>
          <w:rFonts w:ascii="Calibri" w:hAnsi="Calibri"/>
          <w:color w:val="525866"/>
          <w:sz w:val="22"/>
        </w:rPr>
        <w:t xml:space="preserve">Adobe’s Q3 FY26 targets assume "current macroeconomic conditions" with total revenue guided to $6.67–$6.72B. No macro deterioration flagged. → </w:t>
      </w:r>
      <w:r>
        <w:rPr>
          <w:rFonts w:ascii="Calibri" w:hAnsi="Calibri"/>
          <w:i/>
          <w:color w:val="525866"/>
          <w:sz w:val="22"/>
        </w:rPr>
        <w:t>PLTR read-through: Stable macro backdrop is supportive of enterprise software spending.</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Call Date</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Key Signal for PLTR</w:t>
            </w:r>
          </w:p>
        </w:tc>
      </w:tr>
      <w:tr>
        <w:tc>
          <w:tcPr>
            <w:tcW w:type="dxa" w:w="2160"/>
          </w:tcPr>
          <w:p>
            <w:r>
              <w:rPr>
                <w:rFonts w:ascii="Calibri" w:hAnsi="Calibri"/>
                <w:sz w:val="22"/>
              </w:rPr>
              <w:t>ServiceNow (NOW)</w:t>
            </w:r>
          </w:p>
        </w:tc>
        <w:tc>
          <w:tcPr>
            <w:tcW w:type="dxa" w:w="2160"/>
          </w:tcPr>
          <w:p>
            <w:r>
              <w:rPr>
                <w:rFonts w:ascii="Calibri" w:hAnsi="Calibri"/>
                <w:sz w:val="22"/>
              </w:rPr>
              <w:t>Jul 22, 2026</w:t>
            </w:r>
          </w:p>
        </w:tc>
        <w:tc>
          <w:tcPr>
            <w:tcW w:type="dxa" w:w="2160"/>
          </w:tcPr>
          <w:p>
            <w:r>
              <w:rPr>
                <w:rFonts w:ascii="Calibri" w:hAnsi="Calibri"/>
                <w:b/>
                <w:color w:val="30A46C"/>
                <w:sz w:val="22"/>
              </w:rPr>
              <w:t>POSITIVE</w:t>
            </w:r>
          </w:p>
        </w:tc>
        <w:tc>
          <w:tcPr>
            <w:tcW w:type="dxa" w:w="2160"/>
          </w:tcPr>
          <w:p>
            <w:r>
              <w:rPr>
                <w:rFonts w:ascii="Calibri" w:hAnsi="Calibri"/>
                <w:sz w:val="22"/>
              </w:rPr>
              <w:t>Agentic AI at inflection; U.S. federal demand strongest ever; no deal cycle elongation; guidance raised</w:t>
            </w:r>
          </w:p>
        </w:tc>
      </w:tr>
      <w:tr>
        <w:tc>
          <w:tcPr>
            <w:tcW w:type="dxa" w:w="2160"/>
          </w:tcPr>
          <w:p>
            <w:r>
              <w:rPr>
                <w:rFonts w:ascii="Calibri" w:hAnsi="Calibri"/>
                <w:sz w:val="22"/>
              </w:rPr>
              <w:t>Oracle (ORCL)</w:t>
            </w:r>
          </w:p>
        </w:tc>
        <w:tc>
          <w:tcPr>
            <w:tcW w:type="dxa" w:w="2160"/>
          </w:tcPr>
          <w:p>
            <w:r>
              <w:rPr>
                <w:rFonts w:ascii="Calibri" w:hAnsi="Calibri"/>
                <w:sz w:val="22"/>
              </w:rPr>
              <w:t>Jun 10, 2026</w:t>
            </w:r>
          </w:p>
        </w:tc>
        <w:tc>
          <w:tcPr>
            <w:tcW w:type="dxa" w:w="2160"/>
          </w:tcPr>
          <w:p>
            <w:r>
              <w:rPr>
                <w:rFonts w:ascii="Calibri" w:hAnsi="Calibri"/>
                <w:b/>
                <w:color w:val="30A46C"/>
                <w:sz w:val="22"/>
              </w:rPr>
              <w:t>POSITIVE</w:t>
            </w:r>
          </w:p>
        </w:tc>
        <w:tc>
          <w:tcPr>
            <w:tcW w:type="dxa" w:w="2160"/>
          </w:tcPr>
          <w:p>
            <w:r>
              <w:rPr>
                <w:rFonts w:ascii="Calibri" w:hAnsi="Calibri"/>
                <w:sz w:val="22"/>
              </w:rPr>
              <w:t>Customers past AI experimentation; demand exceeds supply; deal delays resolved; record RPO</w:t>
            </w:r>
          </w:p>
        </w:tc>
      </w:tr>
      <w:tr>
        <w:tc>
          <w:tcPr>
            <w:tcW w:type="dxa" w:w="2160"/>
          </w:tcPr>
          <w:p>
            <w:r>
              <w:rPr>
                <w:rFonts w:ascii="Calibri" w:hAnsi="Calibri"/>
                <w:sz w:val="22"/>
              </w:rPr>
              <w:t>CrowdStrike (CRWD)</w:t>
            </w:r>
          </w:p>
        </w:tc>
        <w:tc>
          <w:tcPr>
            <w:tcW w:type="dxa" w:w="2160"/>
          </w:tcPr>
          <w:p>
            <w:r>
              <w:rPr>
                <w:rFonts w:ascii="Calibri" w:hAnsi="Calibri"/>
                <w:sz w:val="22"/>
              </w:rPr>
              <w:t>Jun 3, 2026</w:t>
            </w:r>
          </w:p>
        </w:tc>
        <w:tc>
          <w:tcPr>
            <w:tcW w:type="dxa" w:w="2160"/>
          </w:tcPr>
          <w:p>
            <w:r>
              <w:rPr>
                <w:rFonts w:ascii="Calibri" w:hAnsi="Calibri"/>
                <w:b/>
                <w:color w:val="30A46C"/>
                <w:sz w:val="22"/>
              </w:rPr>
              <w:t>POSITIVE</w:t>
            </w:r>
          </w:p>
        </w:tc>
        <w:tc>
          <w:tcPr>
            <w:tcW w:type="dxa" w:w="2160"/>
          </w:tcPr>
          <w:p>
            <w:r>
              <w:rPr>
                <w:rFonts w:ascii="Calibri" w:hAnsi="Calibri"/>
                <w:sz w:val="22"/>
              </w:rPr>
              <w:t>AI security demand unprecedented; customers want to deploy AI faster; FY27 guidance raised 520 bps</w:t>
            </w:r>
          </w:p>
        </w:tc>
      </w:tr>
      <w:tr>
        <w:tc>
          <w:tcPr>
            <w:tcW w:type="dxa" w:w="2160"/>
          </w:tcPr>
          <w:p>
            <w:r>
              <w:rPr>
                <w:rFonts w:ascii="Calibri" w:hAnsi="Calibri"/>
                <w:sz w:val="22"/>
              </w:rPr>
              <w:t>Adobe (ADBE)</w:t>
            </w:r>
          </w:p>
        </w:tc>
        <w:tc>
          <w:tcPr>
            <w:tcW w:type="dxa" w:w="2160"/>
          </w:tcPr>
          <w:p>
            <w:r>
              <w:rPr>
                <w:rFonts w:ascii="Calibri" w:hAnsi="Calibri"/>
                <w:sz w:val="22"/>
              </w:rPr>
              <w:t>Jun 11, 2026</w:t>
            </w:r>
          </w:p>
        </w:tc>
        <w:tc>
          <w:tcPr>
            <w:tcW w:type="dxa" w:w="2160"/>
          </w:tcPr>
          <w:p>
            <w:r>
              <w:rPr>
                <w:rFonts w:ascii="Calibri" w:hAnsi="Calibri"/>
                <w:b/>
                <w:color w:val="002FA7"/>
                <w:sz w:val="22"/>
              </w:rPr>
              <w:t>MIXED</w:t>
            </w:r>
          </w:p>
        </w:tc>
        <w:tc>
          <w:tcPr>
            <w:tcW w:type="dxa" w:w="2160"/>
          </w:tcPr>
          <w:p>
            <w:r>
              <w:rPr>
                <w:rFonts w:ascii="Calibri" w:hAnsi="Calibri"/>
                <w:sz w:val="22"/>
              </w:rPr>
              <w:t>AI demand strong but freemium strategy sacrifices near-term revenue; macro stable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print are 10b5-1 planned sales — </w:t>
      </w:r>
      <w:r>
        <w:rPr>
          <w:rFonts w:ascii="Calibri" w:hAnsi="Calibri"/>
          <w:b/>
          <w:color w:val="525866"/>
          <w:sz w:val="22"/>
        </w:rPr>
        <w:t>no discretionary selling or open-market buying</w:t>
      </w:r>
      <w:r>
        <w:rPr>
          <w:rFonts w:ascii="Calibri" w:hAnsi="Calibri"/>
          <w:color w:val="525866"/>
          <w:sz w:val="22"/>
        </w:rPr>
        <w:t>; the pattern is consistent with pre-scheduled liquidation programs and does not signal any change in insider conviction.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Sankar Shyam</w:t>
            </w:r>
          </w:p>
        </w:tc>
        <w:tc>
          <w:tcPr>
            <w:tcW w:type="dxa" w:w="1234"/>
          </w:tcPr>
          <w:p>
            <w:r>
              <w:rPr>
                <w:rFonts w:ascii="Calibri" w:hAnsi="Calibri"/>
                <w:sz w:val="22"/>
              </w:rPr>
              <w:t>CTO / See Remarks</w:t>
            </w:r>
          </w:p>
        </w:tc>
        <w:tc>
          <w:tcPr>
            <w:tcW w:type="dxa" w:w="1234"/>
          </w:tcPr>
          <w:p>
            <w:r>
              <w:rPr>
                <w:rFonts w:ascii="Calibri" w:hAnsi="Calibri"/>
                <w:sz w:val="22"/>
              </w:rPr>
              <w:t>10b5-1 Planned Sale</w:t>
            </w:r>
          </w:p>
        </w:tc>
        <w:tc>
          <w:tcPr>
            <w:tcW w:type="dxa" w:w="1234"/>
          </w:tcPr>
          <w:p>
            <w:r>
              <w:rPr>
                <w:rFonts w:ascii="Calibri" w:hAnsi="Calibri"/>
                <w:sz w:val="22"/>
              </w:rPr>
              <w:t>185,000</w:t>
            </w:r>
          </w:p>
        </w:tc>
        <w:tc>
          <w:tcPr>
            <w:tcW w:type="dxa" w:w="1234"/>
          </w:tcPr>
          <w:p>
            <w:r>
              <w:rPr>
                <w:rFonts w:ascii="Calibri" w:hAnsi="Calibri"/>
                <w:sz w:val="22"/>
              </w:rPr>
              <w:t>~$23.8M (est. at ~$129)</w:t>
            </w:r>
          </w:p>
        </w:tc>
        <w:tc>
          <w:tcPr>
            <w:tcW w:type="dxa" w:w="1234"/>
          </w:tcPr>
          <w:p>
            <w:r>
              <w:rPr>
                <w:rFonts w:ascii="Calibri" w:hAnsi="Calibri"/>
                <w:sz w:val="22"/>
              </w:rPr>
              <w:t>Jul 2, 2026</w:t>
            </w:r>
          </w:p>
        </w:tc>
        <w:tc>
          <w:tcPr>
            <w:tcW w:type="dxa" w:w="1234"/>
          </w:tcPr>
          <w:p>
            <w:r>
              <w:rPr>
                <w:rFonts w:ascii="Calibri" w:hAnsi="Calibri"/>
                <w:sz w:val="22"/>
              </w:rPr>
              <w:t>Pre-scheduled 10b5-1 plan; 150K indirect + 35K direct; not discretionary</w:t>
            </w:r>
          </w:p>
        </w:tc>
      </w:tr>
      <w:tr>
        <w:tc>
          <w:tcPr>
            <w:tcW w:type="dxa" w:w="1234"/>
          </w:tcPr>
          <w:p>
            <w:r>
              <w:rPr>
                <w:rFonts w:ascii="Calibri" w:hAnsi="Calibri"/>
                <w:sz w:val="22"/>
              </w:rPr>
              <w:t>Moore Alexander D.</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16,000</w:t>
            </w:r>
          </w:p>
        </w:tc>
        <w:tc>
          <w:tcPr>
            <w:tcW w:type="dxa" w:w="1234"/>
          </w:tcPr>
          <w:p>
            <w:r>
              <w:rPr>
                <w:rFonts w:ascii="Calibri" w:hAnsi="Calibri"/>
                <w:sz w:val="22"/>
              </w:rPr>
              <w:t>~$2.1M (est. at ~$134)</w:t>
            </w:r>
          </w:p>
        </w:tc>
        <w:tc>
          <w:tcPr>
            <w:tcW w:type="dxa" w:w="1234"/>
          </w:tcPr>
          <w:p>
            <w:r>
              <w:rPr>
                <w:rFonts w:ascii="Calibri" w:hAnsi="Calibri"/>
                <w:sz w:val="22"/>
              </w:rPr>
              <w:t>Jul 15, 2026</w:t>
            </w:r>
          </w:p>
        </w:tc>
        <w:tc>
          <w:tcPr>
            <w:tcW w:type="dxa" w:w="1234"/>
          </w:tcPr>
          <w:p>
            <w:r>
              <w:rPr>
                <w:rFonts w:ascii="Calibri" w:hAnsi="Calibri"/>
                <w:sz w:val="22"/>
              </w:rPr>
              <w:t>Recurring monthly 10b5-1 sale; third consecutive month at same share count</w:t>
            </w:r>
          </w:p>
        </w:tc>
      </w:tr>
      <w:tr>
        <w:tc>
          <w:tcPr>
            <w:tcW w:type="dxa" w:w="1234"/>
          </w:tcPr>
          <w:p>
            <w:r>
              <w:rPr>
                <w:rFonts w:ascii="Calibri" w:hAnsi="Calibri"/>
                <w:sz w:val="22"/>
              </w:rPr>
              <w:t>Moore Alexander D.</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16,000</w:t>
            </w:r>
          </w:p>
        </w:tc>
        <w:tc>
          <w:tcPr>
            <w:tcW w:type="dxa" w:w="1234"/>
          </w:tcPr>
          <w:p>
            <w:r>
              <w:rPr>
                <w:rFonts w:ascii="Calibri" w:hAnsi="Calibri"/>
                <w:sz w:val="22"/>
              </w:rPr>
              <w:t>~$2.1M (est. at ~$131)</w:t>
            </w:r>
          </w:p>
        </w:tc>
        <w:tc>
          <w:tcPr>
            <w:tcW w:type="dxa" w:w="1234"/>
          </w:tcPr>
          <w:p>
            <w:r>
              <w:rPr>
                <w:rFonts w:ascii="Calibri" w:hAnsi="Calibri"/>
                <w:sz w:val="22"/>
              </w:rPr>
              <w:t>Jun 15, 2026</w:t>
            </w:r>
          </w:p>
        </w:tc>
        <w:tc>
          <w:tcPr>
            <w:tcW w:type="dxa" w:w="1234"/>
          </w:tcPr>
          <w:p>
            <w:r>
              <w:rPr>
                <w:rFonts w:ascii="Calibri" w:hAnsi="Calibri"/>
                <w:sz w:val="22"/>
              </w:rPr>
              <w:t>Recurring monthly 10b5-1 sale; consistent with prior months</w:t>
            </w:r>
          </w:p>
        </w:tc>
      </w:tr>
      <w:tr>
        <w:tc>
          <w:tcPr>
            <w:tcW w:type="dxa" w:w="1234"/>
          </w:tcPr>
          <w:p>
            <w:r>
              <w:rPr>
                <w:rFonts w:ascii="Calibri" w:hAnsi="Calibri"/>
                <w:sz w:val="22"/>
              </w:rPr>
              <w:t>Stat Lauren Elaina Friedman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1,667</w:t>
            </w:r>
          </w:p>
        </w:tc>
        <w:tc>
          <w:tcPr>
            <w:tcW w:type="dxa" w:w="1234"/>
          </w:tcPr>
          <w:p>
            <w:r>
              <w:rPr>
                <w:rFonts w:ascii="Calibri" w:hAnsi="Calibri"/>
                <w:sz w:val="22"/>
              </w:rPr>
              <w:t>~$0.2M (est. at ~$137)</w:t>
            </w:r>
          </w:p>
        </w:tc>
        <w:tc>
          <w:tcPr>
            <w:tcW w:type="dxa" w:w="1234"/>
          </w:tcPr>
          <w:p>
            <w:r>
              <w:rPr>
                <w:rFonts w:ascii="Calibri" w:hAnsi="Calibri"/>
                <w:sz w:val="22"/>
              </w:rPr>
              <w:t>May 29, 2026</w:t>
            </w:r>
          </w:p>
        </w:tc>
        <w:tc>
          <w:tcPr>
            <w:tcW w:type="dxa" w:w="1234"/>
          </w:tcPr>
          <w:p>
            <w:r>
              <w:rPr>
                <w:rFonts w:ascii="Calibri" w:hAnsi="Calibri"/>
                <w:sz w:val="22"/>
              </w:rPr>
              <w:t>Small pre-scheduled sale; not discretionary</w:t>
            </w:r>
          </w:p>
        </w:tc>
      </w:tr>
      <w:tr>
        <w:tc>
          <w:tcPr>
            <w:tcW w:type="dxa" w:w="1234"/>
          </w:tcPr>
          <w:p>
            <w:r>
              <w:rPr>
                <w:rFonts w:ascii="Calibri" w:hAnsi="Calibri"/>
                <w:sz w:val="22"/>
              </w:rPr>
              <w:t>Buckley Jeffrey</w:t>
            </w:r>
          </w:p>
        </w:tc>
        <w:tc>
          <w:tcPr>
            <w:tcW w:type="dxa" w:w="1234"/>
          </w:tcPr>
          <w:p>
            <w:r>
              <w:rPr>
                <w:rFonts w:ascii="Calibri" w:hAnsi="Calibri"/>
                <w:sz w:val="22"/>
              </w:rPr>
              <w:t>See Remarks</w:t>
            </w:r>
          </w:p>
        </w:tc>
        <w:tc>
          <w:tcPr>
            <w:tcW w:type="dxa" w:w="1234"/>
          </w:tcPr>
          <w:p>
            <w:r>
              <w:rPr>
                <w:rFonts w:ascii="Calibri" w:hAnsi="Calibri"/>
                <w:sz w:val="22"/>
              </w:rPr>
              <w:t>10b5-1 Planned Sale</w:t>
            </w:r>
          </w:p>
        </w:tc>
        <w:tc>
          <w:tcPr>
            <w:tcW w:type="dxa" w:w="1234"/>
          </w:tcPr>
          <w:p>
            <w:r>
              <w:rPr>
                <w:rFonts w:ascii="Calibri" w:hAnsi="Calibri"/>
                <w:sz w:val="22"/>
              </w:rPr>
              <w:t>1,712</w:t>
            </w:r>
          </w:p>
        </w:tc>
        <w:tc>
          <w:tcPr>
            <w:tcW w:type="dxa" w:w="1234"/>
          </w:tcPr>
          <w:p>
            <w:r>
              <w:rPr>
                <w:rFonts w:ascii="Calibri" w:hAnsi="Calibri"/>
                <w:sz w:val="22"/>
              </w:rPr>
              <w:t>~$0.2M (est. at ~$137)</w:t>
            </w:r>
          </w:p>
        </w:tc>
        <w:tc>
          <w:tcPr>
            <w:tcW w:type="dxa" w:w="1234"/>
          </w:tcPr>
          <w:p>
            <w:r>
              <w:rPr>
                <w:rFonts w:ascii="Calibri" w:hAnsi="Calibri"/>
                <w:sz w:val="22"/>
              </w:rPr>
              <w:t>May 20, 2026</w:t>
            </w:r>
          </w:p>
        </w:tc>
        <w:tc>
          <w:tcPr>
            <w:tcW w:type="dxa" w:w="1234"/>
          </w:tcPr>
          <w:p>
            <w:r>
              <w:rPr>
                <w:rFonts w:ascii="Calibri" w:hAnsi="Calibri"/>
                <w:sz w:val="22"/>
              </w:rPr>
              <w:t>Pre-scheduled 10b5-1 plan; not discretionary</w:t>
            </w:r>
          </w:p>
        </w:tc>
      </w:tr>
      <w:tr>
        <w:tc>
          <w:tcPr>
            <w:tcW w:type="dxa" w:w="1234"/>
          </w:tcPr>
          <w:p>
            <w:r>
              <w:rPr>
                <w:rFonts w:ascii="Calibri" w:hAnsi="Calibri"/>
                <w:sz w:val="22"/>
              </w:rPr>
              <w:t>Glazer David A.</w:t>
            </w:r>
          </w:p>
        </w:tc>
        <w:tc>
          <w:tcPr>
            <w:tcW w:type="dxa" w:w="1234"/>
          </w:tcPr>
          <w:p>
            <w:r>
              <w:rPr>
                <w:rFonts w:ascii="Calibri" w:hAnsi="Calibri"/>
                <w:sz w:val="22"/>
              </w:rPr>
              <w:t>CFO / See Remarks</w:t>
            </w:r>
          </w:p>
        </w:tc>
        <w:tc>
          <w:tcPr>
            <w:tcW w:type="dxa" w:w="1234"/>
          </w:tcPr>
          <w:p>
            <w:r>
              <w:rPr>
                <w:rFonts w:ascii="Calibri" w:hAnsi="Calibri"/>
                <w:sz w:val="22"/>
              </w:rPr>
              <w:t>10b5-1 Planned Sale</w:t>
            </w:r>
          </w:p>
        </w:tc>
        <w:tc>
          <w:tcPr>
            <w:tcW w:type="dxa" w:w="1234"/>
          </w:tcPr>
          <w:p>
            <w:r>
              <w:rPr>
                <w:rFonts w:ascii="Calibri" w:hAnsi="Calibri"/>
                <w:sz w:val="22"/>
              </w:rPr>
              <w:t>17,128</w:t>
            </w:r>
          </w:p>
        </w:tc>
        <w:tc>
          <w:tcPr>
            <w:tcW w:type="dxa" w:w="1234"/>
          </w:tcPr>
          <w:p>
            <w:r>
              <w:rPr>
                <w:rFonts w:ascii="Calibri" w:hAnsi="Calibri"/>
                <w:sz w:val="22"/>
              </w:rPr>
              <w:t>~$2.3M (est. at ~$137)</w:t>
            </w:r>
          </w:p>
        </w:tc>
        <w:tc>
          <w:tcPr>
            <w:tcW w:type="dxa" w:w="1234"/>
          </w:tcPr>
          <w:p>
            <w:r>
              <w:rPr>
                <w:rFonts w:ascii="Calibri" w:hAnsi="Calibri"/>
                <w:sz w:val="22"/>
              </w:rPr>
              <w:t>May 20, 2026</w:t>
            </w:r>
          </w:p>
        </w:tc>
        <w:tc>
          <w:tcPr>
            <w:tcW w:type="dxa" w:w="1234"/>
          </w:tcPr>
          <w:p>
            <w:r>
              <w:rPr>
                <w:rFonts w:ascii="Calibri" w:hAnsi="Calibri"/>
                <w:sz w:val="22"/>
              </w:rPr>
              <w:t>Pre-scheduled 10b5-1 plan; not discretionary</w:t>
            </w:r>
          </w:p>
        </w:tc>
      </w:tr>
      <w:tr>
        <w:tc>
          <w:tcPr>
            <w:tcW w:type="dxa" w:w="1234"/>
          </w:tcPr>
          <w:p>
            <w:r>
              <w:rPr>
                <w:rFonts w:ascii="Calibri" w:hAnsi="Calibri"/>
                <w:sz w:val="22"/>
              </w:rPr>
              <w:t>Taylor Ryan D.</w:t>
            </w:r>
          </w:p>
        </w:tc>
        <w:tc>
          <w:tcPr>
            <w:tcW w:type="dxa" w:w="1234"/>
          </w:tcPr>
          <w:p>
            <w:r>
              <w:rPr>
                <w:rFonts w:ascii="Calibri" w:hAnsi="Calibri"/>
                <w:sz w:val="22"/>
              </w:rPr>
              <w:t>President / See Remarks</w:t>
            </w:r>
          </w:p>
        </w:tc>
        <w:tc>
          <w:tcPr>
            <w:tcW w:type="dxa" w:w="1234"/>
          </w:tcPr>
          <w:p>
            <w:r>
              <w:rPr>
                <w:rFonts w:ascii="Calibri" w:hAnsi="Calibri"/>
                <w:sz w:val="22"/>
              </w:rPr>
              <w:t>10b5-1 Planned Sale</w:t>
            </w:r>
          </w:p>
        </w:tc>
        <w:tc>
          <w:tcPr>
            <w:tcW w:type="dxa" w:w="1234"/>
          </w:tcPr>
          <w:p>
            <w:r>
              <w:rPr>
                <w:rFonts w:ascii="Calibri" w:hAnsi="Calibri"/>
                <w:sz w:val="22"/>
              </w:rPr>
              <w:t>19,662</w:t>
            </w:r>
          </w:p>
        </w:tc>
        <w:tc>
          <w:tcPr>
            <w:tcW w:type="dxa" w:w="1234"/>
          </w:tcPr>
          <w:p>
            <w:r>
              <w:rPr>
                <w:rFonts w:ascii="Calibri" w:hAnsi="Calibri"/>
                <w:sz w:val="22"/>
              </w:rPr>
              <w:t>~$2.7M (est. at ~$137)</w:t>
            </w:r>
          </w:p>
        </w:tc>
        <w:tc>
          <w:tcPr>
            <w:tcW w:type="dxa" w:w="1234"/>
          </w:tcPr>
          <w:p>
            <w:r>
              <w:rPr>
                <w:rFonts w:ascii="Calibri" w:hAnsi="Calibri"/>
                <w:sz w:val="22"/>
              </w:rPr>
              <w:t>May 20, 2026</w:t>
            </w:r>
          </w:p>
        </w:tc>
        <w:tc>
          <w:tcPr>
            <w:tcW w:type="dxa" w:w="1234"/>
          </w:tcPr>
          <w:p>
            <w:r>
              <w:rPr>
                <w:rFonts w:ascii="Calibri" w:hAnsi="Calibri"/>
                <w:sz w:val="22"/>
              </w:rPr>
              <w:t>Pre-scheduled 10b5-1 plan; not discretionary</w:t>
            </w:r>
          </w:p>
        </w:tc>
      </w:tr>
      <w:tr>
        <w:tc>
          <w:tcPr>
            <w:tcW w:type="dxa" w:w="1234"/>
          </w:tcPr>
          <w:p>
            <w:r>
              <w:rPr>
                <w:rFonts w:ascii="Calibri" w:hAnsi="Calibri"/>
                <w:sz w:val="22"/>
              </w:rPr>
              <w:t>Moore Alexander D.</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16,000</w:t>
            </w:r>
          </w:p>
        </w:tc>
        <w:tc>
          <w:tcPr>
            <w:tcW w:type="dxa" w:w="1234"/>
          </w:tcPr>
          <w:p>
            <w:r>
              <w:rPr>
                <w:rFonts w:ascii="Calibri" w:hAnsi="Calibri"/>
                <w:sz w:val="22"/>
              </w:rPr>
              <w:t>~$2.1M (est. at ~$133)</w:t>
            </w:r>
          </w:p>
        </w:tc>
        <w:tc>
          <w:tcPr>
            <w:tcW w:type="dxa" w:w="1234"/>
          </w:tcPr>
          <w:p>
            <w:r>
              <w:rPr>
                <w:rFonts w:ascii="Calibri" w:hAnsi="Calibri"/>
                <w:sz w:val="22"/>
              </w:rPr>
              <w:t>May 15, 2026</w:t>
            </w:r>
          </w:p>
        </w:tc>
        <w:tc>
          <w:tcPr>
            <w:tcW w:type="dxa" w:w="1234"/>
          </w:tcPr>
          <w:p>
            <w:r>
              <w:rPr>
                <w:rFonts w:ascii="Calibri" w:hAnsi="Calibri"/>
                <w:sz w:val="22"/>
              </w:rPr>
              <w:t>Recurring monthly 10b5-1 sale; consistent with prior months</w:t>
            </w:r>
          </w:p>
        </w:tc>
      </w:tr>
    </w:tbl>
    <w:p>
      <w:r>
        <w:rPr>
          <w:rFonts w:ascii="Calibri" w:hAnsi="Calibri"/>
          <w:b/>
          <w:color w:val="525866"/>
          <w:sz w:val="22"/>
        </w:rPr>
        <w:t xml:space="preserve">Assessment: </w:t>
      </w:r>
      <w:r>
        <w:rPr>
          <w:rFonts w:ascii="Calibri" w:hAnsi="Calibri"/>
          <w:color w:val="525866"/>
          <w:sz w:val="22"/>
        </w:rPr>
        <w:t>Nothing stands out. All 9 transactions since the Q1 print are pre-scheduled 10b5-1 planned sales — the most routine form of insider selling. Director Moore’s recurring 16,000-share monthly sales are particularly mechanical. The absence of any discretionary open-market buying or selling, and the absence of any 10b5-1 plan initiations or terminations, means the insider signal is neutral heading into Q2 earnings.</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(revenue, EPS, operating income, FCF, U.S. Commercial revenue). Source: Visible Alpha (https://insights.visiblealpha.com/mex/PLTR_US/NMV/).</w:t>
      </w:r>
    </w:p>
    <w:p>
      <w:pPr>
        <w:pStyle w:val="ListBullet"/>
        <w:ind w:left="360" w:hanging="360"/>
      </w:pPr>
      <w:r>
        <w:rPr>
          <w:rFonts w:ascii="Calibri" w:hAnsi="Calibri"/>
          <w:b/>
          <w:color w:val="525866"/>
          <w:sz w:val="22"/>
        </w:rPr>
        <w:t>Stock Price Data</w:t>
      </w:r>
      <w:r>
        <w:rPr>
          <w:rFonts w:ascii="Calibri" w:hAnsi="Calibri"/>
          <w:color w:val="525866"/>
          <w:sz w:val="22"/>
        </w:rPr>
        <w:t xml:space="preserve"> — PLTR, XLK, SPY daily closing prices May 4 – July 31, 2026.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May 4 – July 31, 2026. Source: SEC EDGAR (https://www.sec.gov/).</w:t>
      </w:r>
    </w:p>
    <w:p>
      <w:pPr>
        <w:pStyle w:val="ListBullet"/>
        <w:ind w:left="360" w:hanging="360"/>
      </w:pPr>
      <w:r>
        <w:rPr>
          <w:rFonts w:ascii="Calibri" w:hAnsi="Calibri"/>
          <w:b/>
          <w:color w:val="525866"/>
          <w:sz w:val="22"/>
        </w:rPr>
        <w:t>Earnings Call Transcripts</w:t>
      </w:r>
      <w:r>
        <w:rPr>
          <w:rFonts w:ascii="Calibri" w:hAnsi="Calibri"/>
          <w:color w:val="525866"/>
          <w:sz w:val="22"/>
        </w:rPr>
        <w:t xml:space="preserve"> — PLTR Q1 2026 (May 4, 2026), NOW Q2 2026 (July 22, 2026), ORCL Q4 FY2026 (June 10, 2026), CRWD Q1 FY2027 (June 3, 2026), ADBE Q2 FY2026 (June 11, 2026). Source: Financial documents database.</w:t>
      </w:r>
    </w:p>
    <w:p>
      <w:pPr>
        <w:pStyle w:val="ListBullet"/>
        <w:ind w:left="360" w:hanging="360"/>
      </w:pPr>
      <w:r>
        <w:rPr>
          <w:rFonts w:ascii="Calibri" w:hAnsi="Calibri"/>
          <w:b/>
          <w:color w:val="525866"/>
          <w:sz w:val="22"/>
        </w:rPr>
        <w:t>Company Press Releases</w:t>
      </w:r>
      <w:r>
        <w:rPr>
          <w:rFonts w:ascii="Calibri" w:hAnsi="Calibri"/>
          <w:color w:val="525866"/>
          <w:sz w:val="22"/>
        </w:rPr>
        <w:t xml:space="preserve"> — Palantir Q2 2026 earnings date announcement (July 15, 2026), AIPCon 10 (June 4, 2026), Q1 2026 earnings release (May 4, 2026). Source: Palantir investor relations.</w:t>
      </w:r>
    </w:p>
    <w:p>
      <w:pPr>
        <w:pStyle w:val="ListBullet"/>
        <w:ind w:left="360" w:hanging="360"/>
      </w:pPr>
      <w:r>
        <w:rPr>
          <w:rFonts w:ascii="Calibri" w:hAnsi="Calibri"/>
          <w:b/>
          <w:color w:val="525866"/>
          <w:sz w:val="22"/>
        </w:rPr>
        <w:t>News Sources</w:t>
      </w:r>
      <w:r>
        <w:rPr>
          <w:rFonts w:ascii="Calibri" w:hAnsi="Calibri"/>
          <w:color w:val="525866"/>
          <w:sz w:val="22"/>
        </w:rPr>
        <w:t xml:space="preserve"> — Barron’s, Reuters, WSJ, CNBC, Bloomberg (various dates May–August 2026). Source: News Digest / Implied research platform.</w:t>
      </w:r>
    </w:p>
    <w:p>
      <w:pPr>
        <w:pStyle w:val="ListBullet"/>
        <w:ind w:left="360" w:hanging="360"/>
      </w:pPr>
      <w:r>
        <w:rPr>
          <w:rFonts w:ascii="Calibri" w:hAnsi="Calibri"/>
          <w:b/>
          <w:color w:val="525866"/>
          <w:sz w:val="22"/>
        </w:rPr>
        <w:t>Stock Performance Decomposition</w:t>
      </w:r>
      <w:r>
        <w:rPr>
          <w:rFonts w:ascii="Calibri" w:hAnsi="Calibri"/>
          <w:color w:val="525866"/>
          <w:sz w:val="22"/>
        </w:rPr>
        <w:t xml:space="preserve"> — NTM multiple data as of July 31, 2026. Source: Implied platform analytics.</w:t>
      </w:r>
    </w:p>
    <w:p>
      <w:r>
        <w:rPr>
          <w:rFonts w:ascii="Calibri" w:hAnsi="Calibri"/>
          <w:color w:val="525866"/>
          <w:sz w:val="22"/>
        </w:rPr>
        <w:t>This document is prepared for informational purposes only and does not constitute investment advice. All consensus estimates are sourced from Visible Alpha as of August 2, 2026. Past beat/miss history is not indicative of future results. Prepared: August 2,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