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pnr-earnings-predictions--2026-07-28"/>
    <w:p>
      <w:pPr>
        <w:pStyle w:val="Heading1"/>
      </w:pPr>
      <w:r>
        <w:t xml:space="preserve">PNR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PNR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Adj. EPS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1.12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1.12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PNR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930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930M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PNR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Adj. Operating Income / ROS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235</m:t>
              </m:r>
              <m:r>
                <m:t>M</m:t>
              </m:r>
              <m:r>
                <m:rPr>
                  <m:sty m:val="p"/>
                </m:rPr>
                <m:t>(</m:t>
              </m:r>
              <m:r>
                <m:t> </m:t>
              </m:r>
              <m:r>
                <m:t>25</m:t>
              </m:r>
            </m:oMath>
            <w:r>
              <w:t xml:space="preserve">235M (~25%)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PNR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Adj. EPS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~$4.60–4.80 (mid</w:t>
            </w:r>
            <w:r>
              <w:t xml:space="preserve"> </w:t>
            </w:r>
            <m:oMath>
              <m:r>
                <m:t>4.70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4.70 (FY26)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PNR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Sales growth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 -4% to -7% (mid ~-5.5%) vs. cons ~-5.5% (FY26)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PNR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Underlying (ex-IEEPA) EPS run-rate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~$4.70 incl.</w:t>
            </w:r>
            <w:r>
              <w:t xml:space="preserve"> </w:t>
            </w:r>
            <m:oMath>
              <m:r>
                <m:t>35</m:t>
              </m:r>
              <m:r>
                <m:rPr>
                  <m:sty m:val="p"/>
                </m:rPr>
                <m:t>–</m:t>
              </m:r>
              <m:r>
                <m:t>50</m:t>
              </m:r>
              <m:r>
                <m:t>M</m:t>
              </m:r>
              <m:r>
                <m:t>I</m:t>
              </m:r>
              <m:r>
                <m:t>E</m:t>
              </m:r>
              <m:r>
                <m:t>E</m:t>
              </m:r>
              <m:r>
                <m:t>P</m:t>
              </m:r>
              <m:r>
                <m:t>A</m:t>
              </m:r>
              <m:r>
                <m:t>r</m:t>
              </m:r>
              <m:r>
                <m:t>e</m:t>
              </m:r>
              <m:r>
                <m:t>f</m:t>
              </m:r>
              <m:r>
                <m:t>u</m:t>
              </m:r>
              <m:r>
                <m:t>n</m:t>
              </m:r>
              <m:r>
                <m:t>d</m:t>
              </m:r>
              <m:r>
                <m:t>s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4.70 not fully stripping ~$0.20–0.25 one-timer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PNR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2027 Pool recovery / destock-vs-demand framing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2027 'return to normalized' ~$250M FY Pool headwind reversing vs. cons no explicit 2027 number yet (FY27)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PNR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Capital allocation / buyback pace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350</m:t>
              </m:r>
              <m:r>
                <m:t>M</m:t>
              </m:r>
              <m:r>
                <m:t>Y</m:t>
              </m:r>
              <m:r>
                <m:t>T</m:t>
              </m:r>
              <m:r>
                <m:t>D</m:t>
              </m:r>
              <m:r>
                <m:t>r</m:t>
              </m:r>
              <m:r>
                <m:t>e</m:t>
              </m:r>
              <m:r>
                <m:t>p</m:t>
              </m:r>
              <m:r>
                <m:t>u</m:t>
              </m:r>
              <m:r>
                <m:t>r</m:t>
              </m:r>
              <m:r>
                <m:t>c</m:t>
              </m:r>
              <m:r>
                <m:t>h</m:t>
              </m:r>
              <m:r>
                <m:t>a</m:t>
              </m:r>
              <m:r>
                <m:t>s</m:t>
              </m:r>
              <m:r>
                <m:t>e</m:t>
              </m:r>
              <m:r>
                <m:t>d</m:t>
              </m:r>
              <m:r>
                <m:rPr>
                  <m:sty m:val="p"/>
                </m:rPr>
                <m:t>,</m:t>
              </m:r>
              <m:r>
                <m:t>r</m:t>
              </m:r>
              <m:r>
                <m:t>o</m:t>
              </m:r>
              <m:r>
                <m:t>o</m:t>
              </m:r>
              <m:r>
                <m:t>m</m:t>
              </m:r>
              <m:r>
                <m:t>t</m:t>
              </m:r>
              <m:r>
                <m:t>o</m:t>
              </m:r>
              <m:r>
                <m:t>a</m:t>
              </m:r>
              <m:r>
                <m:t>c</m:t>
              </m:r>
              <m:r>
                <m:t>c</m:t>
              </m:r>
              <m:r>
                <m:t>e</m:t>
              </m:r>
              <m:r>
                <m:t>l</m:t>
              </m:r>
              <m:r>
                <m:t>e</m:t>
              </m:r>
              <m:r>
                <m:t>r</m:t>
              </m:r>
              <m:r>
                <m:t>a</m:t>
              </m:r>
              <m:r>
                <m:t>t</m:t>
              </m:r>
              <m:r>
                <m:t>e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300–350M FY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PNR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PNR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-1.0% (FADE)</w:t>
            </w:r>
          </w:p>
        </w:tc>
        <w:tc>
          <w:tcPr/>
          <w:p>
            <w:pPr>
              <w:pStyle w:val="Compact"/>
            </w:pPr>
            <w:r>
              <w:t xml:space="preserve">Headline Q2 and FY guide are fully pre-announced (7/14) so the print itself is a non-event and consensus has already reset — a de-risked, beaten-down (~40% YTD, ~16% since warning) name with Dividend-King buyback support can see a small day-1 relief pop if the call frames a credible 2027 Pool recovery. But out-period math cuts against it: FY26 EPS of ~$4.70 leans on $35–50M of one-time IEEPA refunds, so the true ex-refund run-rate is worse and 2027 Street numbers still have to come down; combined with a fresh credibility gap (missed own 11-week-old guide, CFO exit) analysts keep trimming, so an initial bounce fades over the week.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2026-07-28T00:31:31Z</dcterms:created>
  <dcterms:modified xsi:type="dcterms:W3CDTF">2026-07-28T00:31:31Z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