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PNR (Pentair) before writing the preview. Let me start by gathering recent filings, transcripts, and news.Let me read the most recent earnings release (Q2 2026), the Q1 2026 call transcript, and the Q1 10-Q MD&amp;A.This is a rich setup — a negative pre-announcement plus a CFO change. Let me check the stock price reaction and any recent news around the pre-release.Let me pull the long-term targets from the Investor Day and any additional analyst commentary to round out the preview.I now have what I need. Below is the earnings preview.</w:t>
      </w:r>
    </w:p>
    <w:p>
      <w:r>
        <w:pict>
          <v:rect style="width:0;height:1.5pt" o:hralign="center" o:hrstd="t" o:hr="t"/>
        </w:pict>
      </w:r>
    </w:p>
    <w:bookmarkStart w:id="16" w:name="X4230630b0a0151be9fb7e64fa7fd8594bcfd30f"/>
    <w:p>
      <w:pPr>
        <w:pStyle w:val="Heading1"/>
      </w:pPr>
      <w:r>
        <w:t xml:space="preserve">Pentair plc (PNR) — Q2 2026 Earnings Preview</w:t>
      </w:r>
    </w:p>
    <w:bookmarkStart w:id="9" w:name="Xdc6d9603a16de338496edf560a33db25c8dec5b"/>
    <w:p>
      <w:pPr>
        <w:pStyle w:val="Heading3"/>
      </w:pPr>
      <w:r>
        <w:t xml:space="preserve">Report: Tuesday, July 28, 2026 (before open) | Call 9:00 a.m. ET</w:t>
      </w:r>
    </w:p>
    <w:p>
      <w:pPr>
        <w:pStyle w:val="FirstParagraph"/>
      </w:pPr>
      <w:r>
        <w:rPr>
          <w:b/>
          <w:bCs/>
        </w:rPr>
        <w:t xml:space="preserve">Recent price (7/24/26): ~$62.90 | Down ~40% YTD | Down ~16% since the July 14 pre-announcement</w:t>
      </w:r>
    </w:p>
    <w:p>
      <w:r>
        <w:pict>
          <v:rect style="width:0;height:1.5pt" o:hralign="center" o:hrstd="t" o:hr="t"/>
        </w:pict>
      </w:r>
    </w:p>
    <w:bookmarkEnd w:id="9"/>
    <w:bookmarkStart w:id="10" w:name="the-one-thing-to-understand-going-in"/>
    <w:p>
      <w:pPr>
        <w:pStyle w:val="Heading2"/>
      </w:pPr>
      <w:r>
        <w:t xml:space="preserve">The one thing to understand going in</w:t>
      </w:r>
    </w:p>
    <w:p>
      <w:pPr>
        <w:pStyle w:val="FirstParagraph"/>
      </w:pPr>
      <w:r>
        <w:t xml:space="preserve">This is not a normal preview, because</w:t>
      </w:r>
      <w:r>
        <w:t xml:space="preserve"> </w:t>
      </w:r>
      <w:r>
        <w:rPr>
          <w:b/>
          <w:bCs/>
        </w:rPr>
        <w:t xml:space="preserve">Pentair already told us the numbers.</w:t>
      </w:r>
      <w:r>
        <w:t xml:space="preserve"> </w:t>
      </w:r>
      <w:r>
        <w:t xml:space="preserve">On the evening of July 14, PNR issued a rare negative pre-announcement, slashed full-year guidance, and disclosed that CFO Nicholas Brazis had departed. The stock fell ~16% the next day (from ~</w:t>
      </w:r>
      <m:oMath>
        <m:r>
          <m:t>75.68</m:t>
        </m:r>
        <m:r>
          <m:t>t</m:t>
        </m:r>
        <m:r>
          <m:t>o</m:t>
        </m:r>
        <m:r>
          <m:t> </m:t>
        </m:r>
      </m:oMath>
      <w:r>
        <w:t xml:space="preserve">64) and has drifted lower since. So the July 28 print itself should contain few surprises on the headline figures —</w:t>
      </w:r>
      <w:r>
        <w:t xml:space="preserve"> </w:t>
      </w:r>
      <w:r>
        <w:rPr>
          <w:b/>
          <w:bCs/>
        </w:rPr>
        <w:t xml:space="preserve">the entire event is now about the narrative, management credibility, and the 2027 setup.</w:t>
      </w:r>
    </w:p>
    <w:p>
      <w:pPr>
        <w:pStyle w:val="BodyText"/>
      </w:pPr>
      <w:r>
        <w:t xml:space="preserve">The whole miss is one segment:</w:t>
      </w:r>
      <w:r>
        <w:t xml:space="preserve"> </w:t>
      </w:r>
      <w:r>
        <w:rPr>
          <w:b/>
          <w:bCs/>
        </w:rPr>
        <w:t xml:space="preserve">Pool.</w:t>
      </w:r>
      <w:r>
        <w:t xml:space="preserve"> </w:t>
      </w:r>
      <w:r>
        <w:t xml:space="preserve">Flow and Water Solutions were explicitly guided as "roughly in line" with prior expectations.</w:t>
      </w:r>
    </w:p>
    <w:p>
      <w:r>
        <w:pict>
          <v:rect style="width:0;height:1.5pt" o:hralign="center" o:hrstd="t" o:hr="t"/>
        </w:pict>
      </w:r>
    </w:p>
    <w:bookmarkEnd w:id="10"/>
    <w:bookmarkStart w:id="11" w:name="Xa347b5075e9409aa8741d73aab2e5ab99117f3c"/>
    <w:p>
      <w:pPr>
        <w:pStyle w:val="Heading2"/>
      </w:pPr>
      <w:r>
        <w:t xml:space="preserve">Preliminary Q2 2026 (pre-announced July 14) vs. what the Street expected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Prior Q2 guide / consensus</w:t>
            </w:r>
          </w:p>
        </w:tc>
        <w:tc>
          <w:tcPr/>
          <w:p>
            <w:pPr>
              <w:pStyle w:val="Compact"/>
            </w:pPr>
            <w:r>
              <w:t xml:space="preserve">Preliminary Q2 actual</w:t>
            </w:r>
          </w:p>
        </w:tc>
      </w:tr>
      <w:tr>
        <w:tc>
          <w:tcPr/>
          <w:p>
            <w:pPr>
              <w:pStyle w:val="Compact"/>
            </w:pPr>
            <w:r>
              <w:t xml:space="preserve">Sales</w:t>
            </w:r>
          </w:p>
        </w:tc>
        <w:tc>
          <w:tcPr/>
          <w:p>
            <w:pPr>
              <w:pStyle w:val="Compact"/>
            </w:pPr>
            <w:r>
              <w:t xml:space="preserve">~+1% y/y (≈$1.13B)</w:t>
            </w:r>
          </w:p>
        </w:tc>
        <w:tc>
          <w:tcPr/>
          <w:p>
            <w:pPr>
              <w:pStyle w:val="Compact"/>
            </w:pPr>
            <w:r>
              <w:rPr>
                <w:b/>
                <w:bCs/>
              </w:rPr>
              <w:t xml:space="preserve">~$930M (–17% y/y)</w:t>
            </w:r>
          </w:p>
        </w:tc>
      </w:tr>
      <w:tr>
        <w:tc>
          <w:tcPr/>
          <w:p>
            <w:pPr>
              <w:pStyle w:val="Compact"/>
            </w:pPr>
            <w:r>
              <w:t xml:space="preserve">Adj. operating income</w:t>
            </w:r>
          </w:p>
        </w:tc>
        <w:tc>
          <w:tcPr/>
          <w:p>
            <w:pPr>
              <w:pStyle w:val="Compact"/>
            </w:pPr>
            <w:r>
              <w:t xml:space="preserve">—</w:t>
            </w:r>
          </w:p>
        </w:tc>
        <w:tc>
          <w:tcPr/>
          <w:p>
            <w:pPr>
              <w:pStyle w:val="Compact"/>
            </w:pPr>
            <w:r>
              <w:t xml:space="preserve">~$235M (ROS ~25%)</w:t>
            </w:r>
          </w:p>
        </w:tc>
      </w:tr>
      <w:tr>
        <w:tc>
          <w:tcPr/>
          <w:p>
            <w:pPr>
              <w:pStyle w:val="Compact"/>
            </w:pPr>
            <w:r>
              <w:t xml:space="preserve">GAAP operating income</w:t>
            </w:r>
          </w:p>
        </w:tc>
        <w:tc>
          <w:tcPr/>
          <w:p>
            <w:pPr>
              <w:pStyle w:val="Compact"/>
            </w:pPr>
            <w:r>
              <w:t xml:space="preserve">—</w:t>
            </w:r>
          </w:p>
        </w:tc>
        <w:tc>
          <w:tcPr/>
          <w:p>
            <w:pPr>
              <w:pStyle w:val="Compact"/>
            </w:pPr>
            <w:r>
              <w:t xml:space="preserve">~$165M</w:t>
            </w:r>
          </w:p>
        </w:tc>
      </w:tr>
      <w:tr>
        <w:tc>
          <w:tcPr/>
          <w:p>
            <w:pPr>
              <w:pStyle w:val="Compact"/>
            </w:pPr>
            <w:r>
              <w:t xml:space="preserve">Adj. EPS</w:t>
            </w:r>
          </w:p>
        </w:tc>
        <w:tc>
          <w:tcPr/>
          <w:p>
            <w:pPr>
              <w:pStyle w:val="Compact"/>
            </w:pPr>
            <m:oMath>
              <m:r>
                <m:t>1.47</m:t>
              </m:r>
              <m:r>
                <m:rPr>
                  <m:sty m:val="p"/>
                </m:rPr>
                <m:t>–</m:t>
              </m:r>
            </m:oMath>
            <w:r>
              <w:t xml:space="preserve">1.50 guide / ~$1.47 cons.</w:t>
            </w:r>
          </w:p>
        </w:tc>
        <w:tc>
          <w:tcPr/>
          <w:p>
            <w:pPr>
              <w:pStyle w:val="Compact"/>
            </w:pPr>
            <w:r>
              <w:rPr>
                <w:b/>
                <w:bCs/>
              </w:rPr>
              <w:t xml:space="preserve">~$1.12</w:t>
            </w:r>
          </w:p>
        </w:tc>
      </w:tr>
      <w:tr>
        <w:tc>
          <w:tcPr/>
          <w:p>
            <w:pPr>
              <w:pStyle w:val="Compact"/>
            </w:pPr>
            <w:r>
              <w:t xml:space="preserve">GAAP EPS</w:t>
            </w:r>
          </w:p>
        </w:tc>
        <w:tc>
          <w:tcPr/>
          <w:p>
            <w:pPr>
              <w:pStyle w:val="Compact"/>
            </w:pPr>
            <w:r>
              <w:t xml:space="preserve">—</w:t>
            </w:r>
          </w:p>
        </w:tc>
        <w:tc>
          <w:tcPr/>
          <w:p>
            <w:pPr>
              <w:pStyle w:val="Compact"/>
            </w:pPr>
            <w:r>
              <w:t xml:space="preserve">~$0.80</w:t>
            </w:r>
          </w:p>
        </w:tc>
      </w:tr>
    </w:tbl>
    <w:p>
      <w:pPr>
        <w:pStyle w:val="BodyText"/>
      </w:pPr>
      <w:r>
        <w:t xml:space="preserve">Two moving parts largely explain the gap versus the old guide:</w:t>
      </w:r>
    </w:p>
    <w:p>
      <w:pPr>
        <w:pStyle w:val="Compact"/>
        <w:numPr>
          <w:ilvl w:val="0"/>
          <w:numId w:val="1001"/>
        </w:numPr>
      </w:pPr>
      <w:r>
        <w:rPr>
          <w:b/>
          <w:bCs/>
        </w:rPr>
        <w:t xml:space="preserve">Pool channel destock:</w:t>
      </w:r>
      <w:r>
        <w:t xml:space="preserve"> </w:t>
      </w:r>
      <w:r>
        <w:t xml:space="preserve">~</w:t>
      </w:r>
      <m:oMath>
        <m:r>
          <m:t>170</m:t>
        </m:r>
        <m:r>
          <m:t>M</m:t>
        </m:r>
        <m:r>
          <m:t>h</m:t>
        </m:r>
        <m:r>
          <m:t>i</m:t>
        </m:r>
        <m:r>
          <m:t>t</m:t>
        </m:r>
        <m:r>
          <m:t>t</m:t>
        </m:r>
        <m:r>
          <m:t>o</m:t>
        </m:r>
        <m:r>
          <m:t>P</m:t>
        </m:r>
        <m:r>
          <m:t>o</m:t>
        </m:r>
        <m:r>
          <m:t>o</m:t>
        </m:r>
        <m:r>
          <m:t>l</m:t>
        </m:r>
        <m:r>
          <m:t>s</m:t>
        </m:r>
        <m:r>
          <m:t>a</m:t>
        </m:r>
        <m:r>
          <m:t>l</m:t>
        </m:r>
        <m:r>
          <m:t>e</m:t>
        </m:r>
        <m:r>
          <m:t>s</m:t>
        </m:r>
        <m:r>
          <m:t>a</m:t>
        </m:r>
        <m:r>
          <m:t>n</m:t>
        </m:r>
        <m:r>
          <m:t>d</m:t>
        </m:r>
        <m:r>
          <m:t> </m:t>
        </m:r>
      </m:oMath>
      <w:r>
        <w:t xml:space="preserve">105M hit to Pool segment income in the quarter alone.</w:t>
      </w:r>
    </w:p>
    <w:p>
      <w:pPr>
        <w:pStyle w:val="Compact"/>
        <w:numPr>
          <w:ilvl w:val="0"/>
          <w:numId w:val="1001"/>
        </w:numPr>
      </w:pPr>
      <w:r>
        <w:rPr>
          <w:b/>
          <w:bCs/>
        </w:rPr>
        <w:t xml:space="preserve">A partial offset from tariffs:</w:t>
      </w:r>
      <w:r>
        <w:t xml:space="preserve"> </w:t>
      </w:r>
      <w:r>
        <w:t xml:space="preserve">~$35M of</w:t>
      </w:r>
      <w:r>
        <w:t xml:space="preserve"> </w:t>
      </w:r>
      <w:r>
        <w:rPr>
          <w:b/>
          <w:bCs/>
        </w:rPr>
        <w:t xml:space="preserve">IEEPA refunds</w:t>
      </w:r>
      <w:r>
        <w:t xml:space="preserve"> </w:t>
      </w:r>
      <w:r>
        <w:t xml:space="preserve">(recovery of tariffs previously collected under the International Emergency Economic Powers Act). Without this one-time benefit, the underlying quarter was even weaker — worth flagging because it flatters both EPS and the ~25% adjusted margin.</w:t>
      </w:r>
    </w:p>
    <w:p>
      <w:r>
        <w:pict>
          <v:rect style="width:0;height:1.5pt" o:hralign="center" o:hrstd="t" o:hr="t"/>
        </w:pict>
      </w:r>
    </w:p>
    <w:bookmarkEnd w:id="11"/>
    <w:bookmarkStart w:id="12" w:name="the-full-year-guidance-cut"/>
    <w:p>
      <w:pPr>
        <w:pStyle w:val="Heading2"/>
      </w:pPr>
      <w:r>
        <w:t xml:space="preserve">The full-year guidance cut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Prior FY26 guide (April)</w:t>
            </w:r>
          </w:p>
        </w:tc>
        <w:tc>
          <w:tcPr/>
          <w:p>
            <w:pPr>
              <w:pStyle w:val="Compact"/>
            </w:pPr>
            <w:r>
              <w:t xml:space="preserve">Revised FY26 guide (July 14)</w:t>
            </w:r>
          </w:p>
        </w:tc>
        <w:tc>
          <w:tcPr/>
          <w:p>
            <w:pPr>
              <w:pStyle w:val="Compact"/>
            </w:pPr>
            <w:r>
              <w:t xml:space="preserve">FY25 actual</w:t>
            </w:r>
          </w:p>
        </w:tc>
      </w:tr>
      <w:tr>
        <w:tc>
          <w:tcPr/>
          <w:p>
            <w:pPr>
              <w:pStyle w:val="Compact"/>
            </w:pPr>
            <w:r>
              <w:t xml:space="preserve">Sales growth</w:t>
            </w:r>
          </w:p>
        </w:tc>
        <w:tc>
          <w:tcPr/>
          <w:p>
            <w:pPr>
              <w:pStyle w:val="Compact"/>
            </w:pPr>
            <w:r>
              <w:t xml:space="preserve">+2% to +4%</w:t>
            </w:r>
          </w:p>
        </w:tc>
        <w:tc>
          <w:tcPr/>
          <w:p>
            <w:pPr>
              <w:pStyle w:val="Compact"/>
            </w:pPr>
            <w:r>
              <w:rPr>
                <w:b/>
                <w:bCs/>
              </w:rPr>
              <w:t xml:space="preserve">–4% to –7%</w:t>
            </w:r>
          </w:p>
        </w:tc>
        <w:tc>
          <w:tcPr/>
          <w:p>
            <w:pPr>
              <w:pStyle w:val="Compact"/>
            </w:pPr>
            <w:r>
              <w:t xml:space="preserve">$4,176M</w:t>
            </w:r>
          </w:p>
        </w:tc>
      </w:tr>
      <w:tr>
        <w:tc>
          <w:tcPr/>
          <w:p>
            <w:pPr>
              <w:pStyle w:val="Compact"/>
            </w:pPr>
            <w:r>
              <w:t xml:space="preserve">Adj. operating income</w:t>
            </w:r>
          </w:p>
        </w:tc>
        <w:tc>
          <w:tcPr/>
          <w:p>
            <w:pPr>
              <w:pStyle w:val="Compact"/>
            </w:pPr>
            <w:r>
              <w:t xml:space="preserve">+6% to +8%</w:t>
            </w:r>
          </w:p>
        </w:tc>
        <w:tc>
          <w:tcPr/>
          <w:p>
            <w:pPr>
              <w:pStyle w:val="Compact"/>
            </w:pPr>
            <w:r>
              <w:t xml:space="preserve">–5% to –9%</w:t>
            </w:r>
          </w:p>
        </w:tc>
        <w:tc>
          <w:tcPr/>
          <w:p>
            <w:pPr>
              <w:pStyle w:val="Compact"/>
            </w:pPr>
            <w:r>
              <w:t xml:space="preserve">$1,053.5M</w:t>
            </w:r>
          </w:p>
        </w:tc>
      </w:tr>
      <w:tr>
        <w:tc>
          <w:tcPr/>
          <w:p>
            <w:pPr>
              <w:pStyle w:val="Compact"/>
            </w:pPr>
            <w:r>
              <w:t xml:space="preserve">GAAP EPS</w:t>
            </w:r>
          </w:p>
        </w:tc>
        <w:tc>
          <w:tcPr/>
          <w:p>
            <w:pPr>
              <w:pStyle w:val="Compact"/>
            </w:pPr>
            <m:oMath>
              <m:r>
                <m:t>4.83</m:t>
              </m:r>
              <m:r>
                <m:rPr>
                  <m:sty m:val="p"/>
                </m:rPr>
                <m:t>–</m:t>
              </m:r>
            </m:oMath>
            <w:r>
              <w:t xml:space="preserve">4.93</w:t>
            </w:r>
          </w:p>
        </w:tc>
        <w:tc>
          <w:tcPr/>
          <w:p>
            <w:pPr>
              <w:pStyle w:val="Compact"/>
            </w:pPr>
            <m:oMath>
              <m:r>
                <m:t>3.90</m:t>
              </m:r>
              <m:r>
                <m:rPr>
                  <m:sty m:val="p"/>
                </m:rPr>
                <m:t>–</m:t>
              </m:r>
            </m:oMath>
            <w:r>
              <w:rPr>
                <w:b/>
                <w:bCs/>
              </w:rPr>
              <w:t xml:space="preserve">4.10</w:t>
            </w:r>
          </w:p>
        </w:tc>
        <w:tc>
          <w:tcPr/>
          <w:p>
            <w:pPr>
              <w:pStyle w:val="Compact"/>
            </w:pPr>
            <w:r>
              <w:t xml:space="preserve">$3.93</w:t>
            </w:r>
          </w:p>
        </w:tc>
      </w:tr>
      <w:tr>
        <w:tc>
          <w:tcPr/>
          <w:p>
            <w:pPr>
              <w:pStyle w:val="Compact"/>
            </w:pPr>
            <w:r>
              <w:t xml:space="preserve">Adj. EPS</w:t>
            </w:r>
          </w:p>
        </w:tc>
        <w:tc>
          <w:tcPr/>
          <w:p>
            <w:pPr>
              <w:pStyle w:val="Compact"/>
            </w:pPr>
            <m:oMath>
              <m:r>
                <m:t>5.30</m:t>
              </m:r>
              <m:r>
                <m:rPr>
                  <m:sty m:val="p"/>
                </m:rPr>
                <m:t>–</m:t>
              </m:r>
            </m:oMath>
            <w:r>
              <w:t xml:space="preserve">5.40</w:t>
            </w:r>
          </w:p>
        </w:tc>
        <w:tc>
          <w:tcPr/>
          <w:p>
            <w:pPr>
              <w:pStyle w:val="Compact"/>
            </w:pPr>
            <m:oMath>
              <m:r>
                <m:t>4.60</m:t>
              </m:r>
              <m:r>
                <m:rPr>
                  <m:sty m:val="p"/>
                </m:rPr>
                <m:t>–</m:t>
              </m:r>
            </m:oMath>
            <w:r>
              <w:rPr>
                <w:b/>
                <w:bCs/>
              </w:rPr>
              <w:t xml:space="preserve">4.80</w:t>
            </w:r>
          </w:p>
        </w:tc>
        <w:tc>
          <w:tcPr/>
          <w:p>
            <w:pPr>
              <w:pStyle w:val="Compact"/>
            </w:pPr>
            <w:r>
              <w:t xml:space="preserve">$4.92</w:t>
            </w:r>
          </w:p>
        </w:tc>
      </w:tr>
      <w:tr>
        <w:tc>
          <w:tcPr/>
          <w:p>
            <w:pPr>
              <w:pStyle w:val="Compact"/>
            </w:pPr>
            <w:r>
              <w:t xml:space="preserve">EBITDA</w:t>
            </w:r>
          </w:p>
        </w:tc>
        <w:tc>
          <w:tcPr/>
          <w:p>
            <w:pPr>
              <w:pStyle w:val="Compact"/>
            </w:pPr>
            <w:r>
              <w:t xml:space="preserve">—</w:t>
            </w:r>
          </w:p>
        </w:tc>
        <w:tc>
          <w:tcPr/>
          <w:p>
            <w:pPr>
              <w:pStyle w:val="Compact"/>
            </w:pPr>
            <w:r>
              <w:t xml:space="preserve">~$1,050M</w:t>
            </w:r>
          </w:p>
        </w:tc>
        <w:tc>
          <w:tcPr/>
          <w:p>
            <w:pPr>
              <w:pStyle w:val="Compact"/>
            </w:pPr>
            <w:r>
              <w:t xml:space="preserve">—</w:t>
            </w:r>
          </w:p>
        </w:tc>
      </w:tr>
    </w:tbl>
    <w:p>
      <w:pPr>
        <w:pStyle w:val="Compact"/>
        <w:numPr>
          <w:ilvl w:val="0"/>
          <w:numId w:val="1002"/>
        </w:numPr>
      </w:pPr>
      <w:r>
        <w:t xml:space="preserve">Adjusted EPS midpoint cut from</w:t>
      </w:r>
      <w:r>
        <w:t xml:space="preserve"> </w:t>
      </w:r>
      <w:r>
        <w:rPr>
          <w:b/>
          <w:bCs/>
        </w:rPr>
        <w:t xml:space="preserve">~</w:t>
      </w:r>
      <m:oMath>
        <m:r>
          <m:t>5.35</m:t>
        </m:r>
        <m:r>
          <m:rPr>
            <m:sty m:val="p"/>
          </m:rPr>
          <m:t>→</m:t>
        </m:r>
        <m:r>
          <m:t> </m:t>
        </m:r>
      </m:oMath>
      <w:r>
        <w:rPr>
          <w:b/>
          <w:bCs/>
        </w:rPr>
        <w:t xml:space="preserve">4.70 (~12%)</w:t>
      </w:r>
      <w:r>
        <w:t xml:space="preserve">, and note the new number</w:t>
      </w:r>
      <w:r>
        <w:t xml:space="preserve"> </w:t>
      </w:r>
      <w:r>
        <w:rPr>
          <w:i/>
          <w:iCs/>
        </w:rPr>
        <w:t xml:space="preserve">includes</w:t>
      </w:r>
      <w:r>
        <w:t xml:space="preserve"> </w:t>
      </w:r>
      <m:oMath>
        <m:r>
          <m:t>35</m:t>
        </m:r>
        <m:r>
          <m:rPr>
            <m:sty m:val="p"/>
          </m:rPr>
          <m:t>–</m:t>
        </m:r>
      </m:oMath>
      <w:r>
        <w:t xml:space="preserve">50M of IEEPA refunds — so the underlying operating deterioration is worse than the ~12% suggests.</w:t>
      </w:r>
    </w:p>
    <w:p>
      <w:pPr>
        <w:pStyle w:val="Compact"/>
        <w:numPr>
          <w:ilvl w:val="0"/>
          <w:numId w:val="1002"/>
        </w:numPr>
      </w:pPr>
      <w:r>
        <w:t xml:space="preserve">FY Pool impact:</w:t>
      </w:r>
      <w:r>
        <w:t xml:space="preserve"> </w:t>
      </w:r>
      <w:r>
        <w:rPr>
          <w:b/>
          <w:bCs/>
        </w:rPr>
        <w:t xml:space="preserve">~</w:t>
      </w:r>
      <m:oMath>
        <m:r>
          <m:t>250</m:t>
        </m:r>
        <m:r>
          <m:t>M</m:t>
        </m:r>
        <m:r>
          <m:t>l</m:t>
        </m:r>
        <m:r>
          <m:t>o</m:t>
        </m:r>
        <m:r>
          <m:t>w</m:t>
        </m:r>
        <m:r>
          <m:t>e</m:t>
        </m:r>
        <m:r>
          <m:t>r</m:t>
        </m:r>
        <m:r>
          <m:t>s</m:t>
        </m:r>
        <m:r>
          <m:t>a</m:t>
        </m:r>
        <m:r>
          <m:t>l</m:t>
        </m:r>
        <m:r>
          <m:t>e</m:t>
        </m:r>
        <m:r>
          <m:t>s</m:t>
        </m:r>
        <m:r>
          <m:rPr>
            <m:sty m:val="p"/>
          </m:rPr>
          <m:t>,</m:t>
        </m:r>
        <m:r>
          <m:t> </m:t>
        </m:r>
      </m:oMath>
      <w:r>
        <w:rPr>
          <w:b/>
          <w:bCs/>
        </w:rPr>
        <w:t xml:space="preserve">155M lower income</w:t>
      </w:r>
      <w:r>
        <w:t xml:space="preserve"> </w:t>
      </w:r>
      <w:r>
        <w:t xml:space="preserve">from destocking and "right-sizing channel inventory in preparation for the 2027 pool season."</w:t>
      </w:r>
    </w:p>
    <w:p>
      <w:pPr>
        <w:pStyle w:val="Compact"/>
        <w:numPr>
          <w:ilvl w:val="0"/>
          <w:numId w:val="1002"/>
        </w:numPr>
      </w:pPr>
      <w:r>
        <w:t xml:space="preserve">Adjusted EPS of ~$4.70 is now</w:t>
      </w:r>
      <w:r>
        <w:t xml:space="preserve"> </w:t>
      </w:r>
      <w:r>
        <w:rPr>
          <w:i/>
          <w:iCs/>
        </w:rPr>
        <w:t xml:space="preserve">below</w:t>
      </w:r>
      <w:r>
        <w:t xml:space="preserve"> </w:t>
      </w:r>
      <w:r>
        <w:t xml:space="preserve">FY25's $4.92 — i.e.,</w:t>
      </w:r>
      <w:r>
        <w:t xml:space="preserve"> </w:t>
      </w:r>
      <w:r>
        <w:rPr>
          <w:b/>
          <w:bCs/>
        </w:rPr>
        <w:t xml:space="preserve">an earnings decline year</w:t>
      </w:r>
      <w:r>
        <w:t xml:space="preserve">, versus the ~9% growth management was pitching three months ago.</w:t>
      </w:r>
    </w:p>
    <w:p>
      <w:r>
        <w:pict>
          <v:rect style="width:0;height:1.5pt" o:hralign="center" o:hrstd="t" o:hr="t"/>
        </w:pict>
      </w:r>
    </w:p>
    <w:bookmarkEnd w:id="12"/>
    <w:bookmarkStart w:id="13" w:name="Xb73e16abd30b1a46c7dbf3bbd6ea8c92121e6c2"/>
    <w:p>
      <w:pPr>
        <w:pStyle w:val="Heading2"/>
      </w:pPr>
      <w:r>
        <w:t xml:space="preserve">The credibility problem (the real story of this call)</w:t>
      </w:r>
    </w:p>
    <w:p>
      <w:pPr>
        <w:pStyle w:val="FirstParagraph"/>
      </w:pPr>
      <w:r>
        <w:t xml:space="preserve">This is what makes the report unusually charged:</w:t>
      </w:r>
    </w:p>
    <w:p>
      <w:pPr>
        <w:numPr>
          <w:ilvl w:val="0"/>
          <w:numId w:val="1003"/>
        </w:numPr>
      </w:pPr>
      <w:r>
        <w:rPr>
          <w:b/>
          <w:bCs/>
        </w:rPr>
        <w:t xml:space="preserve">The timeline is brutal.</w:t>
      </w:r>
      <w:r>
        <w:t xml:space="preserve"> </w:t>
      </w:r>
      <w:r>
        <w:t xml:space="preserve">At the</w:t>
      </w:r>
      <w:r>
        <w:t xml:space="preserve"> </w:t>
      </w:r>
      <w:r>
        <w:rPr>
          <w:b/>
          <w:bCs/>
        </w:rPr>
        <w:t xml:space="preserve">March Investor Day</w:t>
      </w:r>
      <w:r>
        <w:t xml:space="preserve">, management laid out a confident 2028 framework (mid-single-digit growth, ~28% ROS, low-double-digit EPS CAGR) and even reaffirmed the quarter mid-event. On the</w:t>
      </w:r>
      <w:r>
        <w:t xml:space="preserve"> </w:t>
      </w:r>
      <w:r>
        <w:rPr>
          <w:b/>
          <w:bCs/>
        </w:rPr>
        <w:t xml:space="preserve">late-April Q1 call</w:t>
      </w:r>
      <w:r>
        <w:t xml:space="preserve">, they guided Q2 Pool to "</w:t>
      </w:r>
      <w:r>
        <w:rPr>
          <w:b/>
          <w:bCs/>
        </w:rPr>
        <w:t xml:space="preserve">flat to up 1%</w:t>
      </w:r>
      <w:r>
        <w:t xml:space="preserve">" and FY Pool to +1–3%, explicitly stating they had already "incorporated" wider Pool sell-in/sell-out scenarios into the guide. ~11 weeks later, Pool sales were down ~$170M in the quarter. That is a very large air pocket to open up that fast.</w:t>
      </w:r>
    </w:p>
    <w:p>
      <w:pPr>
        <w:numPr>
          <w:ilvl w:val="0"/>
          <w:numId w:val="1003"/>
        </w:numPr>
      </w:pPr>
      <w:r>
        <w:rPr>
          <w:b/>
          <w:bCs/>
        </w:rPr>
        <w:t xml:space="preserve">The CFO left days before the warning.</w:t>
      </w:r>
      <w:r>
        <w:t xml:space="preserve"> </w:t>
      </w:r>
      <w:r>
        <w:t xml:space="preserve">Brazis departed</w:t>
      </w:r>
      <w:r>
        <w:t xml:space="preserve"> </w:t>
      </w:r>
      <w:r>
        <w:rPr>
          <w:b/>
          <w:bCs/>
        </w:rPr>
        <w:t xml:space="preserve">July 10</w:t>
      </w:r>
      <w:r>
        <w:t xml:space="preserve">; the pre-announcement came</w:t>
      </w:r>
      <w:r>
        <w:t xml:space="preserve"> </w:t>
      </w:r>
      <w:r>
        <w:rPr>
          <w:b/>
          <w:bCs/>
        </w:rPr>
        <w:t xml:space="preserve">July 14</w:t>
      </w:r>
      <w:r>
        <w:t xml:space="preserve">. Former CFO</w:t>
      </w:r>
      <w:r>
        <w:t xml:space="preserve"> </w:t>
      </w:r>
      <w:r>
        <w:rPr>
          <w:b/>
          <w:bCs/>
        </w:rPr>
        <w:t xml:space="preserve">Bob Fishman</w:t>
      </w:r>
      <w:r>
        <w:t xml:space="preserve"> </w:t>
      </w:r>
      <w:r>
        <w:t xml:space="preserve">returns on an interim basis while a search runs. Optically, a finance chief leaving on the eve of a guidance cut invites questions — even if the stated reason is a move to a private company. Note this is also the</w:t>
      </w:r>
      <w:r>
        <w:t xml:space="preserve"> </w:t>
      </w:r>
      <w:r>
        <w:rPr>
          <w:b/>
          <w:bCs/>
        </w:rPr>
        <w:t xml:space="preserve">second IR/finance leadership change in a quarter</w:t>
      </w:r>
      <w:r>
        <w:t xml:space="preserve"> </w:t>
      </w:r>
      <w:r>
        <w:t xml:space="preserve">(IR head Shelly Hubbard also departed).</w:t>
      </w:r>
    </w:p>
    <w:p>
      <w:pPr>
        <w:numPr>
          <w:ilvl w:val="0"/>
          <w:numId w:val="1003"/>
        </w:numPr>
      </w:pPr>
      <w:r>
        <w:rPr>
          <w:b/>
          <w:bCs/>
        </w:rPr>
        <w:t xml:space="preserve">The signal problem.</w:t>
      </w:r>
      <w:r>
        <w:t xml:space="preserve"> </w:t>
      </w:r>
      <w:r>
        <w:t xml:space="preserve">In Q1, management repeatedly framed Pool as "flattish volume plus price" and said sell-in pressure would be a manageable Q2/Q3 phenomenon. RBC's Deane Dray cut his target to</w:t>
      </w:r>
      <w:r>
        <w:t xml:space="preserve"> </w:t>
      </w:r>
      <w:r>
        <w:rPr>
          <w:b/>
          <w:bCs/>
        </w:rPr>
        <w:t xml:space="preserve">$74 from $101</w:t>
      </w:r>
      <w:r>
        <w:t xml:space="preserve">, citing concern that pool inventory is "far worse than management previously indicated." The core investor question on the call:</w:t>
      </w:r>
      <w:r>
        <w:t xml:space="preserve"> </w:t>
      </w:r>
      <w:r>
        <w:rPr>
          <w:i/>
          <w:iCs/>
        </w:rPr>
        <w:t xml:space="preserve">did management misread its channel, or did demand genuinely deteriorate?</w:t>
      </w:r>
      <w:r>
        <w:t xml:space="preserve"> </w:t>
      </w:r>
      <w:r>
        <w:t xml:space="preserve">Management's July 14 language points to</w:t>
      </w:r>
      <w:r>
        <w:t xml:space="preserve"> </w:t>
      </w:r>
      <w:r>
        <w:rPr>
          <w:b/>
          <w:bCs/>
        </w:rPr>
        <w:t xml:space="preserve">both</w:t>
      </w:r>
      <w:r>
        <w:t xml:space="preserve"> </w:t>
      </w:r>
      <w:r>
        <w:t xml:space="preserve">— destock</w:t>
      </w:r>
      <w:r>
        <w:t xml:space="preserve"> </w:t>
      </w:r>
      <w:r>
        <w:rPr>
          <w:b/>
          <w:bCs/>
        </w:rPr>
        <w:t xml:space="preserve">plus</w:t>
      </w:r>
      <w:r>
        <w:t xml:space="preserve"> </w:t>
      </w:r>
      <w:r>
        <w:t xml:space="preserve">"worsening business conditions, including higher interest rates and inflation."</w:t>
      </w:r>
    </w:p>
    <w:p>
      <w:r>
        <w:pict>
          <v:rect style="width:0;height:1.5pt" o:hralign="center" o:hrstd="t" o:hr="t"/>
        </w:pict>
      </w:r>
    </w:p>
    <w:bookmarkEnd w:id="13"/>
    <w:bookmarkStart w:id="14" w:name="X567fb916e66e0686ffa4bd60a644307a7db13d5"/>
    <w:p>
      <w:pPr>
        <w:pStyle w:val="Heading2"/>
      </w:pPr>
      <w:r>
        <w:t xml:space="preserve">What to watch / key questions for the call</w:t>
      </w:r>
    </w:p>
    <w:p>
      <w:pPr>
        <w:pStyle w:val="FirstParagraph"/>
      </w:pPr>
      <w:r>
        <w:rPr>
          <w:b/>
          <w:bCs/>
        </w:rPr>
        <w:t xml:space="preserve">On Pool (the whole ballgame):</w:t>
      </w:r>
    </w:p>
    <w:p>
      <w:pPr>
        <w:pStyle w:val="Compact"/>
        <w:numPr>
          <w:ilvl w:val="0"/>
          <w:numId w:val="1004"/>
        </w:numPr>
      </w:pPr>
      <w:r>
        <w:t xml:space="preserve">How much of the ~$250M FY hit is</w:t>
      </w:r>
      <w:r>
        <w:t xml:space="preserve"> </w:t>
      </w:r>
      <w:r>
        <w:rPr>
          <w:b/>
          <w:bCs/>
        </w:rPr>
        <w:t xml:space="preserve">channel destock (temporary)</w:t>
      </w:r>
      <w:r>
        <w:t xml:space="preserve"> </w:t>
      </w:r>
      <w:r>
        <w:t xml:space="preserve">vs.</w:t>
      </w:r>
      <w:r>
        <w:t xml:space="preserve"> </w:t>
      </w:r>
      <w:r>
        <w:rPr>
          <w:b/>
          <w:bCs/>
        </w:rPr>
        <w:t xml:space="preserve">end-market/sell-through demand (structural)?</w:t>
      </w:r>
      <w:r>
        <w:t xml:space="preserve"> </w:t>
      </w:r>
      <w:r>
        <w:t xml:space="preserve">Management's Q1 framing was "flattish sell-through" — is even that holding?</w:t>
      </w:r>
    </w:p>
    <w:p>
      <w:pPr>
        <w:pStyle w:val="Compact"/>
        <w:numPr>
          <w:ilvl w:val="0"/>
          <w:numId w:val="1004"/>
        </w:numPr>
      </w:pPr>
      <w:r>
        <w:t xml:space="preserve">What is the</w:t>
      </w:r>
      <w:r>
        <w:t xml:space="preserve"> </w:t>
      </w:r>
      <w:r>
        <w:rPr>
          <w:b/>
          <w:bCs/>
        </w:rPr>
        <w:t xml:space="preserve">exit rate / trajectory</w:t>
      </w:r>
      <w:r>
        <w:t xml:space="preserve"> </w:t>
      </w:r>
      <w:r>
        <w:t xml:space="preserve">into Q4 and into the 2027 season? They're betting on a "return to normalized performance in 2027" — quantify it.</w:t>
      </w:r>
    </w:p>
    <w:p>
      <w:pPr>
        <w:pStyle w:val="Compact"/>
        <w:numPr>
          <w:ilvl w:val="0"/>
          <w:numId w:val="1004"/>
        </w:numPr>
      </w:pPr>
      <w:r>
        <w:t xml:space="preserve">Any read on the</w:t>
      </w:r>
      <w:r>
        <w:t xml:space="preserve"> </w:t>
      </w:r>
      <w:r>
        <w:rPr>
          <w:b/>
          <w:bCs/>
        </w:rPr>
        <w:t xml:space="preserve">big distribution partner</w:t>
      </w:r>
      <w:r>
        <w:t xml:space="preserve"> </w:t>
      </w:r>
      <w:r>
        <w:t xml:space="preserve">relationship (POOL Corp dynamics) and whether sell-in can re-sync with sell-through.</w:t>
      </w:r>
    </w:p>
    <w:p>
      <w:pPr>
        <w:pStyle w:val="Compact"/>
        <w:numPr>
          <w:ilvl w:val="0"/>
          <w:numId w:val="1004"/>
        </w:numPr>
      </w:pPr>
      <w:r>
        <w:t xml:space="preserve">Is this a</w:t>
      </w:r>
      <w:r>
        <w:t xml:space="preserve"> </w:t>
      </w:r>
      <w:r>
        <w:rPr>
          <w:b/>
          <w:bCs/>
        </w:rPr>
        <w:t xml:space="preserve">share</w:t>
      </w:r>
      <w:r>
        <w:t xml:space="preserve"> </w:t>
      </w:r>
      <w:r>
        <w:t xml:space="preserve">issue or an</w:t>
      </w:r>
      <w:r>
        <w:t xml:space="preserve"> </w:t>
      </w:r>
      <w:r>
        <w:rPr>
          <w:b/>
          <w:bCs/>
        </w:rPr>
        <w:t xml:space="preserve">industry</w:t>
      </w:r>
      <w:r>
        <w:t xml:space="preserve"> </w:t>
      </w:r>
      <w:r>
        <w:t xml:space="preserve">issue? Watch commentary on new-pool builds (~60k vs. ~80k pre-COVID), remodel/aftermarket, and price elasticity at the low/mid end.</w:t>
      </w:r>
    </w:p>
    <w:p>
      <w:pPr>
        <w:pStyle w:val="FirstParagraph"/>
      </w:pPr>
      <w:r>
        <w:rPr>
          <w:b/>
          <w:bCs/>
        </w:rPr>
        <w:t xml:space="preserve">On the rest of the portfolio (the bull case):</w:t>
      </w:r>
    </w:p>
    <w:p>
      <w:pPr>
        <w:pStyle w:val="Compact"/>
        <w:numPr>
          <w:ilvl w:val="0"/>
          <w:numId w:val="1005"/>
        </w:numPr>
      </w:pPr>
      <w:r>
        <w:t xml:space="preserve">Confirmation that</w:t>
      </w:r>
      <w:r>
        <w:t xml:space="preserve"> </w:t>
      </w:r>
      <w:r>
        <w:rPr>
          <w:b/>
          <w:bCs/>
        </w:rPr>
        <w:t xml:space="preserve">Flow</w:t>
      </w:r>
      <w:r>
        <w:t xml:space="preserve"> </w:t>
      </w:r>
      <w:r>
        <w:t xml:space="preserve">(data centers, commercial buildings, muni/Hydra-Stop) and</w:t>
      </w:r>
      <w:r>
        <w:t xml:space="preserve"> </w:t>
      </w:r>
      <w:r>
        <w:rPr>
          <w:b/>
          <w:bCs/>
        </w:rPr>
        <w:t xml:space="preserve">Water Solutions</w:t>
      </w:r>
      <w:r>
        <w:t xml:space="preserve"> </w:t>
      </w:r>
      <w:r>
        <w:t xml:space="preserve">(Manitowoc Ice/Everpure, Pro channel) truly held in line — these are the segments carrying the structural-margin story.</w:t>
      </w:r>
    </w:p>
    <w:p>
      <w:pPr>
        <w:pStyle w:val="FirstParagraph"/>
      </w:pPr>
      <w:r>
        <w:rPr>
          <w:b/>
          <w:bCs/>
        </w:rPr>
        <w:t xml:space="preserve">On earnings quality &amp; guidance:</w:t>
      </w:r>
    </w:p>
    <w:p>
      <w:pPr>
        <w:pStyle w:val="Compact"/>
        <w:numPr>
          <w:ilvl w:val="0"/>
          <w:numId w:val="1006"/>
        </w:numPr>
      </w:pPr>
      <w:r>
        <w:rPr>
          <w:b/>
          <w:bCs/>
        </w:rPr>
        <w:t xml:space="preserve">IEEPA refunds (</w:t>
      </w:r>
      <m:oMath>
        <m:r>
          <m:t>35</m:t>
        </m:r>
        <m:r>
          <m:rPr>
            <m:sty m:val="p"/>
          </m:rPr>
          <m:t>–</m:t>
        </m:r>
      </m:oMath>
      <w:r>
        <w:rPr>
          <w:b/>
          <w:bCs/>
        </w:rPr>
        <w:t xml:space="preserve">50M):</w:t>
      </w:r>
      <w:r>
        <w:t xml:space="preserve"> </w:t>
      </w:r>
      <w:r>
        <w:t xml:space="preserve">one-time or recurring? Strip them out to see true underlying run-rate.</w:t>
      </w:r>
    </w:p>
    <w:p>
      <w:pPr>
        <w:pStyle w:val="Compact"/>
        <w:numPr>
          <w:ilvl w:val="0"/>
          <w:numId w:val="1006"/>
        </w:numPr>
      </w:pPr>
      <w:r>
        <w:t xml:space="preserve">Is the new guide a</w:t>
      </w:r>
      <w:r>
        <w:t xml:space="preserve"> </w:t>
      </w:r>
      <w:r>
        <w:rPr>
          <w:b/>
          <w:bCs/>
        </w:rPr>
        <w:t xml:space="preserve">"kitchen sink"</w:t>
      </w:r>
      <w:r>
        <w:t xml:space="preserve"> </w:t>
      </w:r>
      <w:r>
        <w:t xml:space="preserve">(conservative enough to beat) or is there further downside risk? Given the recent track record, the burden of proof is on management.</w:t>
      </w:r>
    </w:p>
    <w:p>
      <w:pPr>
        <w:pStyle w:val="Compact"/>
        <w:numPr>
          <w:ilvl w:val="0"/>
          <w:numId w:val="1006"/>
        </w:numPr>
      </w:pPr>
      <w:r>
        <w:t xml:space="preserve">Margin resilience: adjusted ROS held ~25% despite a 17% sales drop — how sustainable ex-IEEPA?</w:t>
      </w:r>
    </w:p>
    <w:p>
      <w:pPr>
        <w:pStyle w:val="FirstParagraph"/>
      </w:pPr>
      <w:r>
        <w:rPr>
          <w:b/>
          <w:bCs/>
        </w:rPr>
        <w:t xml:space="preserve">On management/governance:</w:t>
      </w:r>
    </w:p>
    <w:p>
      <w:pPr>
        <w:pStyle w:val="Compact"/>
        <w:numPr>
          <w:ilvl w:val="0"/>
          <w:numId w:val="1007"/>
        </w:numPr>
      </w:pPr>
      <w:r>
        <w:t xml:space="preserve">Rationale and timing of the</w:t>
      </w:r>
      <w:r>
        <w:t xml:space="preserve"> </w:t>
      </w:r>
      <w:r>
        <w:rPr>
          <w:b/>
          <w:bCs/>
        </w:rPr>
        <w:t xml:space="preserve">CFO exit</w:t>
      </w:r>
      <w:r>
        <w:t xml:space="preserve">; CFO search timeline; whether Fishman's return signals continuity or a reset.</w:t>
      </w:r>
    </w:p>
    <w:p>
      <w:pPr>
        <w:pStyle w:val="FirstParagraph"/>
      </w:pPr>
      <w:r>
        <w:rPr>
          <w:b/>
          <w:bCs/>
        </w:rPr>
        <w:t xml:space="preserve">On capital allocation:</w:t>
      </w:r>
    </w:p>
    <w:p>
      <w:pPr>
        <w:pStyle w:val="Compact"/>
        <w:numPr>
          <w:ilvl w:val="0"/>
          <w:numId w:val="1008"/>
        </w:numPr>
      </w:pPr>
      <w:r>
        <w:t xml:space="preserve">PNR bought back ~2.0M shares for **</w:t>
      </w:r>
      <m:oMath>
        <m:r>
          <m:t>150</m:t>
        </m:r>
        <m:r>
          <m:t>M</m:t>
        </m:r>
        <m:r>
          <m:t>i</m:t>
        </m:r>
        <m:r>
          <m:t>n</m:t>
        </m:r>
        <m:r>
          <m:t>Q</m:t>
        </m:r>
        <m:r>
          <m:t>2</m:t>
        </m:r>
        <m:r>
          <m:rPr>
            <m:sty m:val="p"/>
          </m:rPr>
          <m:t>*</m:t>
        </m:r>
        <m:r>
          <m:rPr>
            <m:sty m:val="p"/>
          </m:rPr>
          <m:t>*</m:t>
        </m:r>
        <m:r>
          <m:rPr>
            <m:sty m:val="p"/>
          </m:rPr>
          <m:t>(</m:t>
        </m:r>
        <m:r>
          <m:t> </m:t>
        </m:r>
      </m:oMath>
      <w:r>
        <w:t xml:space="preserve">350M YTD with Q1's $200M), and remains a</w:t>
      </w:r>
      <w:r>
        <w:t xml:space="preserve"> </w:t>
      </w:r>
      <w:r>
        <w:rPr>
          <w:b/>
          <w:bCs/>
        </w:rPr>
        <w:t xml:space="preserve">Dividend King</w:t>
      </w:r>
      <w:r>
        <w:t xml:space="preserve"> </w:t>
      </w:r>
      <w:r>
        <w:t xml:space="preserve">(50 straight years of increases). With the stock ~40% off its highs and net leverage ~1.7x, watch for buyback acceleration as a confidence signal.</w:t>
      </w:r>
    </w:p>
    <w:p>
      <w:r>
        <w:pict>
          <v:rect style="width:0;height:1.5pt" o:hralign="center" o:hrstd="t" o:hr="t"/>
        </w:pict>
      </w:r>
    </w:p>
    <w:bookmarkEnd w:id="14"/>
    <w:bookmarkStart w:id="15" w:name="valuation--positioning-context"/>
    <w:p>
      <w:pPr>
        <w:pStyle w:val="Heading2"/>
      </w:pPr>
      <w:r>
        <w:t xml:space="preserve">Valuation &amp; positioning context</w:t>
      </w:r>
    </w:p>
    <w:p>
      <w:pPr>
        <w:pStyle w:val="Compact"/>
        <w:numPr>
          <w:ilvl w:val="0"/>
          <w:numId w:val="1009"/>
        </w:numPr>
      </w:pPr>
      <w:r>
        <w:t xml:space="preserve">At ~</w:t>
      </w:r>
      <m:oMath>
        <m:r>
          <m:t>63</m:t>
        </m:r>
        <m:r>
          <m:t>o</m:t>
        </m:r>
        <m:r>
          <m:t>n</m:t>
        </m:r>
        <m:r>
          <m:t> </m:t>
        </m:r>
      </m:oMath>
      <w:r>
        <w:t xml:space="preserve">4.70 adjusted EPS, PNR trades around **~13x** revised forward earnings — a meaningful discount to its typical high-teens/20x multiple, reflecting shattered near-term credibility.</w:t>
      </w:r>
    </w:p>
    <w:p>
      <w:pPr>
        <w:pStyle w:val="Compact"/>
        <w:numPr>
          <w:ilvl w:val="0"/>
          <w:numId w:val="1009"/>
        </w:numPr>
      </w:pPr>
      <w:r>
        <w:t xml:space="preserve">The bull thesis (per Investor Day): structurally higher margins (~19% ROS in 2022 → ~28% target by 2028), ~100% FCF conversion, an asset-light model, and a "base case" that explicitly excludes any residential recovery and "breakthrough innovation" — implying upside optionality</w:t>
      </w:r>
      <w:r>
        <w:t xml:space="preserve"> </w:t>
      </w:r>
      <w:r>
        <w:rPr>
          <w:i/>
          <w:iCs/>
        </w:rPr>
        <w:t xml:space="preserve">if</w:t>
      </w:r>
      <w:r>
        <w:t xml:space="preserve"> </w:t>
      </w:r>
      <w:r>
        <w:t xml:space="preserve">Pool stabilizes.</w:t>
      </w:r>
    </w:p>
    <w:p>
      <w:pPr>
        <w:pStyle w:val="Compact"/>
        <w:numPr>
          <w:ilvl w:val="0"/>
          <w:numId w:val="1009"/>
        </w:numPr>
      </w:pPr>
      <w:r>
        <w:t xml:space="preserve">The bear thesis: a management team that just missed its own 11-week-old guide by a wide margin, a CFO exit at the worst possible moment, and genuine uncertainty over whether the Pool destock is a one-time reset or the leading edge of softer end demand.</w:t>
      </w:r>
    </w:p>
    <w:p>
      <w:pPr>
        <w:pStyle w:val="FirstParagraph"/>
      </w:pPr>
      <w:r>
        <w:rPr>
          <w:b/>
          <w:bCs/>
        </w:rPr>
        <w:t xml:space="preserve">Bottom line:</w:t>
      </w:r>
      <w:r>
        <w:t xml:space="preserve"> </w:t>
      </w:r>
      <w:r>
        <w:t xml:space="preserve">With the numbers already out, July 28 is a</w:t>
      </w:r>
      <w:r>
        <w:t xml:space="preserve"> </w:t>
      </w:r>
      <w:r>
        <w:rPr>
          <w:b/>
          <w:bCs/>
        </w:rPr>
        <w:t xml:space="preserve">"show me" call.</w:t>
      </w:r>
      <w:r>
        <w:t xml:space="preserve"> </w:t>
      </w:r>
      <w:r>
        <w:t xml:space="preserve">The stock's next move hinges less on Q2 optics and more on (1) whether management can credibly bridge to a 2027 recovery, (2) how clean the underlying (ex-IEEPA) run-rate really is, and (3) whether the new guide is finally conservative enough to be believed. Expect the Q&amp;A — not the press release — to drive the reaction.</w:t>
      </w:r>
    </w:p>
    <w:p>
      <w:pPr>
        <w:pStyle w:val="BodyText"/>
      </w:pPr>
      <w:r>
        <w:rPr>
          <w:i/>
          <w:iCs/>
        </w:rPr>
        <w:t xml:space="preserve">Note: All figures are drawn from Pentair's July 14 preliminary/8-K release, the Q1 2026 earnings call, the March 2026 Investor Day, and market data through July 24, 2026. Preliminary results are unaudited and subject to revision at the final print.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2026-07-28T00:31:31Z</dcterms:created>
  <dcterms:modified xsi:type="dcterms:W3CDTF">2026-07-28T00:31:31Z</dcterms:modified>
</cp:coreProperties>
</file>

<file path=docProps/custom.xml><?xml version="1.0" encoding="utf-8"?>
<Properties xmlns="http://schemas.openxmlformats.org/officeDocument/2006/custom-properties" xmlns:vt="http://schemas.openxmlformats.org/officeDocument/2006/docPropsVTypes"/>
</file>