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4230630b0a0151be9fb7e64fa7fd8594bcfd30f"/>
    <w:p>
      <w:pPr>
        <w:pStyle w:val="Heading1"/>
      </w:pPr>
      <w:r>
        <w:t xml:space="preserve">Pentair plc (PNR) — Q2 2026 Earnings Preview</w:t>
      </w:r>
    </w:p>
    <w:p>
      <w:pPr>
        <w:pStyle w:val="FirstParagraph"/>
      </w:pPr>
      <w:r>
        <w:rPr>
          <w:b/>
          <w:bCs/>
        </w:rPr>
        <w:t xml:space="preserve">Reports: Tuesday, July 28, 2026, before market open | Call: 9:00 a.m. ET</w:t>
      </w:r>
    </w:p>
    <w:bookmarkStart w:id="9" w:name="the-bottom-line-up-front"/>
    <w:p>
      <w:pPr>
        <w:pStyle w:val="Heading2"/>
      </w:pPr>
      <w:r>
        <w:t xml:space="preserve">The Bottom Line Up Front</w:t>
      </w:r>
    </w:p>
    <w:p>
      <w:pPr>
        <w:pStyle w:val="FirstParagraph"/>
      </w:pPr>
      <w:r>
        <w:t xml:space="preserve">This is an unusual earnings preview because Pentair has already told investors the headline numbers — and they were ugly. On July 14, the company pre-announced preliminary Q2 results, slashed full-year 2026 guidance, and disclosed that its CFO had abruptly resigned. The stock fell roughly 17-20% in the days that followed and now sits near 52-week lows, down about 40% year-to-date (from ~</w:t>
      </w:r>
      <m:oMath>
        <m:r>
          <m:t>105</m:t>
        </m:r>
        <m:r>
          <m:t>i</m:t>
        </m:r>
        <m:r>
          <m:t>n</m:t>
        </m:r>
        <m:r>
          <m:t>e</m:t>
        </m:r>
        <m:r>
          <m:t>a</m:t>
        </m:r>
        <m:r>
          <m:t>r</m:t>
        </m:r>
        <m:r>
          <m:t>l</m:t>
        </m:r>
        <m:r>
          <m:t>y</m:t>
        </m:r>
        <m:r>
          <m:t>J</m:t>
        </m:r>
        <m:r>
          <m:t>a</m:t>
        </m:r>
        <m:r>
          <m:t>n</m:t>
        </m:r>
        <m:r>
          <m:t>u</m:t>
        </m:r>
        <m:r>
          <m:t>a</m:t>
        </m:r>
        <m:r>
          <m:t>r</m:t>
        </m:r>
        <m:r>
          <m:t>y</m:t>
        </m:r>
        <m:r>
          <m:t>t</m:t>
        </m:r>
        <m:r>
          <m:t>o</m:t>
        </m:r>
        <m:r>
          <m:t> </m:t>
        </m:r>
      </m:oMath>
      <w:r>
        <w:t xml:space="preserve">63 heading into the print). Tomorrow's report is less about "will they beat or miss" — the miss is already known — and much more about</w:t>
      </w:r>
      <w:r>
        <w:t xml:space="preserve"> </w:t>
      </w:r>
      <w:r>
        <w:rPr>
          <w:b/>
          <w:bCs/>
        </w:rPr>
        <w:t xml:space="preserve">credibility, visibility, and the path back to normal</w:t>
      </w:r>
      <w:r>
        <w:t xml:space="preserve">.</w:t>
      </w:r>
    </w:p>
    <w:bookmarkEnd w:id="9"/>
    <w:bookmarkStart w:id="10" w:name="Xd4c341e5543650f8686c860c27ec340eeb462df"/>
    <w:p>
      <w:pPr>
        <w:pStyle w:val="Heading2"/>
      </w:pPr>
      <w:r>
        <w:t xml:space="preserve">What We Already Know: The July 14 Pre-Announcement</w:t>
      </w:r>
    </w:p>
    <w:p>
      <w:pPr>
        <w:pStyle w:val="FirstParagraph"/>
      </w:pPr>
      <w:r>
        <w:t xml:space="preserve">Pentair disclosed preliminary Q2 2026 results well below its own guidance from three months earlier: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Prior Guide (Q1 call)</w:t>
            </w:r>
          </w:p>
        </w:tc>
        <w:tc>
          <w:tcPr/>
          <w:p>
            <w:pPr>
              <w:pStyle w:val="Compact"/>
            </w:pPr>
            <w:r>
              <w:t xml:space="preserve">New Preliminary Q2</w:t>
            </w:r>
          </w:p>
        </w:tc>
        <w:tc>
          <w:tcPr/>
          <w:p>
            <w:pPr>
              <w:pStyle w:val="Compact"/>
            </w:pPr>
            <w:r>
              <w:t xml:space="preserve">Prior Guide FY26</w:t>
            </w:r>
          </w:p>
        </w:tc>
        <w:tc>
          <w:tcPr/>
          <w:p>
            <w:pPr>
              <w:pStyle w:val="Compact"/>
            </w:pPr>
            <w:r>
              <w:t xml:space="preserve">New FY26 Guide</w:t>
            </w:r>
          </w:p>
        </w:tc>
      </w:tr>
      <w:tr>
        <w:tc>
          <w:tcPr/>
          <w:p>
            <w:pPr>
              <w:pStyle w:val="Compact"/>
            </w:pPr>
            <w:r>
              <w:t xml:space="preserve">Sales</w:t>
            </w:r>
          </w:p>
        </w:tc>
        <w:tc>
          <w:tcPr/>
          <w:p>
            <w:pPr>
              <w:pStyle w:val="Compact"/>
            </w:pPr>
            <w:r>
              <w:t xml:space="preserve">~+1%</w:t>
            </w:r>
          </w:p>
        </w:tc>
        <w:tc>
          <w:tcPr/>
          <w:p>
            <w:pPr>
              <w:pStyle w:val="Compact"/>
            </w:pPr>
            <w:r>
              <w:t xml:space="preserve">~$930M,</w:t>
            </w:r>
            <w:r>
              <w:t xml:space="preserve"> </w:t>
            </w:r>
            <w:r>
              <w:rPr>
                <w:b/>
                <w:bCs/>
              </w:rPr>
              <w:t xml:space="preserve">down 17%</w:t>
            </w:r>
          </w:p>
        </w:tc>
        <w:tc>
          <w:tcPr/>
          <w:p>
            <w:pPr>
              <w:pStyle w:val="Compact"/>
            </w:pPr>
            <w:r>
              <w:t xml:space="preserve">+2% to +4%</w:t>
            </w:r>
          </w:p>
        </w:tc>
        <w:tc>
          <w:tcPr/>
          <w:p>
            <w:pPr>
              <w:pStyle w:val="Compact"/>
            </w:pPr>
            <w:r>
              <w:rPr>
                <w:b/>
                <w:bCs/>
              </w:rPr>
              <w:t xml:space="preserve">Down 4% to 7%</w:t>
            </w:r>
          </w:p>
        </w:tc>
      </w:tr>
      <w:tr>
        <w:tc>
          <w:tcPr/>
          <w:p>
            <w:pPr>
              <w:pStyle w:val="Compact"/>
            </w:pPr>
            <w:r>
              <w:t xml:space="preserve">Adjusted EPS</w:t>
            </w:r>
          </w:p>
        </w:tc>
        <w:tc>
          <w:tcPr/>
          <w:p>
            <w:pPr>
              <w:pStyle w:val="Compact"/>
            </w:pPr>
            <m:oMath>
              <m:r>
                <m:t>1.47</m:t>
              </m:r>
              <m:r>
                <m:rPr>
                  <m:sty m:val="p"/>
                </m:rPr>
                <m:t>–</m:t>
              </m:r>
            </m:oMath>
            <w:r>
              <w:t xml:space="preserve">1.50</w:t>
            </w:r>
          </w:p>
        </w:tc>
        <w:tc>
          <w:tcPr/>
          <w:p>
            <w:pPr>
              <w:pStyle w:val="Compact"/>
            </w:pPr>
            <w:r>
              <w:t xml:space="preserve">~</w:t>
            </w:r>
            <w:r>
              <w:rPr>
                <w:b/>
                <w:bCs/>
              </w:rPr>
              <w:t xml:space="preserve">$1.12</w:t>
            </w:r>
          </w:p>
        </w:tc>
        <w:tc>
          <w:tcPr/>
          <w:p>
            <w:pPr>
              <w:pStyle w:val="Compact"/>
            </w:pPr>
            <m:oMath>
              <m:r>
                <m:t>5.30</m:t>
              </m:r>
              <m:r>
                <m:rPr>
                  <m:sty m:val="p"/>
                </m:rPr>
                <m:t>–</m:t>
              </m:r>
            </m:oMath>
            <w:r>
              <w:t xml:space="preserve">5.40</w:t>
            </w:r>
          </w:p>
        </w:tc>
        <w:tc>
          <w:tcPr/>
          <w:p>
            <w:pPr>
              <w:pStyle w:val="Compact"/>
            </w:pPr>
            <m:oMath>
              <m:r>
                <m:t>4.60</m:t>
              </m:r>
              <m:r>
                <m:rPr>
                  <m:sty m:val="p"/>
                </m:rPr>
                <m:t>–</m:t>
              </m:r>
            </m:oMath>
            <w:r>
              <w:rPr>
                <w:b/>
                <w:bCs/>
              </w:rPr>
              <w:t xml:space="preserve">4.80</w:t>
            </w:r>
          </w:p>
        </w:tc>
      </w:tr>
      <w:tr>
        <w:tc>
          <w:tcPr/>
          <w:p>
            <w:pPr>
              <w:pStyle w:val="Compact"/>
            </w:pPr>
            <w:r>
              <w:t xml:space="preserve">GAAP EPS (continuing ops)</w:t>
            </w:r>
          </w:p>
        </w:tc>
        <w:tc>
          <w:tcPr/>
          <w:p>
            <w:pPr>
              <w:pStyle w:val="Compact"/>
            </w:pPr>
            <m:oMath>
              <m:r>
                <m:t>1.39</m:t>
              </m:r>
              <m:r>
                <m:rPr>
                  <m:sty m:val="p"/>
                </m:rPr>
                <m:t>–</m:t>
              </m:r>
            </m:oMath>
            <w:r>
              <w:t xml:space="preserve">1.42</w:t>
            </w:r>
          </w:p>
        </w:tc>
        <w:tc>
          <w:tcPr/>
          <w:p>
            <w:pPr>
              <w:pStyle w:val="Compact"/>
            </w:pPr>
            <w:r>
              <w:t xml:space="preserve">~$0.80</w:t>
            </w:r>
          </w:p>
        </w:tc>
        <w:tc>
          <w:tcPr/>
          <w:p>
            <w:pPr>
              <w:pStyle w:val="Compact"/>
            </w:pPr>
            <m:oMath>
              <m:r>
                <m:t>4.83</m:t>
              </m:r>
              <m:r>
                <m:rPr>
                  <m:sty m:val="p"/>
                </m:rPr>
                <m:t>–</m:t>
              </m:r>
            </m:oMath>
            <w:r>
              <w:t xml:space="preserve">4.93</w:t>
            </w:r>
          </w:p>
        </w:tc>
        <w:tc>
          <w:tcPr/>
          <w:p>
            <w:pPr>
              <w:pStyle w:val="Compact"/>
            </w:pPr>
            <m:oMath>
              <m:r>
                <m:t>3.90</m:t>
              </m:r>
              <m:r>
                <m:rPr>
                  <m:sty m:val="p"/>
                </m:rPr>
                <m:t>–</m:t>
              </m:r>
            </m:oMath>
            <w:r>
              <w:rPr>
                <w:b/>
                <w:bCs/>
              </w:rPr>
              <w:t xml:space="preserve">4.10</w:t>
            </w:r>
          </w:p>
        </w:tc>
      </w:tr>
      <w:tr>
        <w:tc>
          <w:tcPr/>
          <w:p>
            <w:pPr>
              <w:pStyle w:val="Compact"/>
            </w:pPr>
            <w:r>
              <w:t xml:space="preserve">Adjusted Operating Income</w:t>
            </w:r>
          </w:p>
        </w:tc>
        <w:tc>
          <w:tcPr/>
          <w:p>
            <w:pPr>
              <w:pStyle w:val="Compact"/>
            </w:pPr>
            <w:r>
              <w:t xml:space="preserve">+5–6% (Q2)</w:t>
            </w:r>
          </w:p>
        </w:tc>
        <w:tc>
          <w:tcPr/>
          <w:p>
            <w:pPr>
              <w:pStyle w:val="Compact"/>
            </w:pPr>
            <w:r>
              <w:t xml:space="preserve">~$235M</w:t>
            </w:r>
          </w:p>
        </w:tc>
        <w:tc>
          <w:tcPr/>
          <w:p>
            <w:pPr>
              <w:pStyle w:val="Compact"/>
            </w:pPr>
            <w:r>
              <w:t xml:space="preserve">+6–8%</w:t>
            </w:r>
          </w:p>
        </w:tc>
        <w:tc>
          <w:tcPr/>
          <w:p>
            <w:pPr>
              <w:pStyle w:val="Compact"/>
            </w:pPr>
            <w:r>
              <w:t xml:space="preserve">Down 5–9%</w:t>
            </w:r>
          </w:p>
        </w:tc>
      </w:tr>
    </w:tbl>
    <w:p>
      <w:pPr>
        <w:pStyle w:val="BodyText"/>
      </w:pPr>
      <w:r>
        <w:t xml:space="preserve">The company was explicit about the cause: sales are expected to be approximately $930 million, down 17 percent versus previous guide of up approximately 1 percent primarily due to the adverse impact of Pool channel inventory. Management quantified the damage precisely: the company estimates that the destocking of inventory in the Pool channel negatively impacted Pool segment sales by approximately $170 million and Pool segment income by approximately $105 million in the quarter alone. For the full year, the destocking of inventory in the Pool channel negatively impacts Pool segment sales by approximately $250 million and Pool segment income by approximately $155 million.</w:t>
      </w:r>
    </w:p>
    <w:p>
      <w:pPr>
        <w:pStyle w:val="BodyText"/>
      </w:pPr>
      <w:r>
        <w:t xml:space="preserve">Partially offsetting the pain, results include a one-time benefit: the company's results are expected to include approximately $35 million of IEEPA refunds (tariff recoveries) in Q2, and $35–50 million for the full year.</w:t>
      </w:r>
    </w:p>
    <w:p>
      <w:pPr>
        <w:pStyle w:val="BodyText"/>
      </w:pPr>
      <w:r>
        <w:t xml:space="preserve">Importantly, management said the damage is contained to one segment: the company's Flow and Water Solutions segments and corporate spending are expected to perform roughly in line with prior guidance for the second quarter and full year 2026. That's a key data point investors will want confirmed with actual (not preliminary) numbers tomorrow.</w:t>
      </w:r>
    </w:p>
    <w:bookmarkEnd w:id="10"/>
    <w:bookmarkStart w:id="11" w:name="Xf5b1002fe236851967ccc92051afc224d3c1309"/>
    <w:p>
      <w:pPr>
        <w:pStyle w:val="Heading2"/>
      </w:pPr>
      <w:r>
        <w:t xml:space="preserve">Leadership Disruption Adds to the Credibility Problem</w:t>
      </w:r>
    </w:p>
    <w:p>
      <w:pPr>
        <w:pStyle w:val="FirstParagraph"/>
      </w:pPr>
      <w:r>
        <w:t xml:space="preserve">The timing compounded the damage. Nicholas Brazis' departure from the company on July 10, 2026, to pursue another opportunity at a private company came just days before the guidance cut, and Bob Fishman, Pentair's former Executive Vice President and CFO, has been appointed Interim Executive Vice President and CFO, effective immediately. Brazis had been in the CFO seat for only about four months. RBC's Deane Dray called the sequencing an "embarrassing development" and downgraded the stock, and Stifel's Nathan Jones cut his price target from $103 to $65. Multiple shareholder-rights law firms have also opened securities-related inquiries into the timing and completeness of prior disclosures — a backdrop that will likely generate pointed analyst questions on tomorrow's call.</w:t>
      </w:r>
    </w:p>
    <w:bookmarkEnd w:id="11"/>
    <w:bookmarkStart w:id="12" w:name="Xef48e5f9842ac8dc94d98175259f5a831e5a77a"/>
    <w:p>
      <w:pPr>
        <w:pStyle w:val="Heading2"/>
      </w:pPr>
      <w:r>
        <w:t xml:space="preserve">Sell-In vs. Sell-Through: Why This Happened</w:t>
      </w:r>
    </w:p>
    <w:p>
      <w:pPr>
        <w:pStyle w:val="FirstParagraph"/>
      </w:pPr>
      <w:r>
        <w:t xml:space="preserve">This wasn't entirely a surprise in kind, just in magnitude. On the Q1 call in April, CEO John Stauch had already flagged that channel partners had over-purchased ahead of tariff-driven price increases: he noted the current sell-through activity didn't warrant a big pickup in sell-in activity, and that this would need to work its way out through Q2 and Q3 with lower shipments for us and then ultimately, better long-term dynamics as we head into 2027 Pool season. Management had built some destocking into its original guide — but the actual reset proved far deeper than modeled, cutting Pool segment sales roughly 40%+ year-over-year by some analyst estimates.</w:t>
      </w:r>
    </w:p>
    <w:p>
      <w:pPr>
        <w:pStyle w:val="BodyText"/>
      </w:pPr>
      <w:r>
        <w:t xml:space="preserve">Pentair framed the issue as temporary: management said it is taking decisive actions to address near-term challenges in the Pool segment by strengthening its relationships with channel partners – including dealers, distribution partners, and service professionals – accelerating the development of new, innovative products and enhancing its technical support solutions, and expressed confidence that headwinds will fade as inventories reset ahead of the 2027 pool season.</w:t>
      </w:r>
    </w:p>
    <w:bookmarkEnd w:id="12"/>
    <w:bookmarkStart w:id="13" w:name="what-to-watch-on-tomorrows-call"/>
    <w:p>
      <w:pPr>
        <w:pStyle w:val="Heading2"/>
      </w:pPr>
      <w:r>
        <w:t xml:space="preserve">What to Watch on Tomorrow's Call</w:t>
      </w:r>
    </w:p>
    <w:p>
      <w:pPr>
        <w:pStyle w:val="Compact"/>
        <w:numPr>
          <w:ilvl w:val="0"/>
          <w:numId w:val="1001"/>
        </w:numPr>
      </w:pPr>
      <w:r>
        <w:rPr>
          <w:b/>
          <w:bCs/>
        </w:rPr>
        <w:t xml:space="preserve">Confirmation vs. surprise</w:t>
      </w:r>
      <w:r>
        <w:t xml:space="preserve">: Do actual Q2 GAAP/adjusted figures match the preliminary numbers, or is there further slippage? Investors will be hypersensitive to any additional negative surprise given the recent trust deficit.</w:t>
      </w:r>
    </w:p>
    <w:p>
      <w:pPr>
        <w:pStyle w:val="Compact"/>
        <w:numPr>
          <w:ilvl w:val="0"/>
          <w:numId w:val="1001"/>
        </w:numPr>
      </w:pPr>
      <w:r>
        <w:rPr>
          <w:b/>
          <w:bCs/>
        </w:rPr>
        <w:t xml:space="preserve">Destocking trajectory</w:t>
      </w:r>
      <w:r>
        <w:t xml:space="preserve">: Is Q3 shaping up better or worse than the "flattening" narrative management is selling? Watch for specifics on sell-through vs. sell-in gap closing.</w:t>
      </w:r>
    </w:p>
    <w:p>
      <w:pPr>
        <w:pStyle w:val="Compact"/>
        <w:numPr>
          <w:ilvl w:val="0"/>
          <w:numId w:val="1001"/>
        </w:numPr>
      </w:pPr>
      <w:r>
        <w:rPr>
          <w:b/>
          <w:bCs/>
        </w:rPr>
        <w:t xml:space="preserve">Market share</w:t>
      </w:r>
      <w:r>
        <w:t xml:space="preserve">: Is Pentair losing share to competitors (e.g., Hayward) in pool equipment, or is this purely an industry-wide inventory correction?</w:t>
      </w:r>
    </w:p>
    <w:p>
      <w:pPr>
        <w:pStyle w:val="Compact"/>
        <w:numPr>
          <w:ilvl w:val="0"/>
          <w:numId w:val="1001"/>
        </w:numPr>
      </w:pPr>
      <w:r>
        <w:rPr>
          <w:b/>
          <w:bCs/>
        </w:rPr>
        <w:t xml:space="preserve">Flow and Water Solutions health</w:t>
      </w:r>
      <w:r>
        <w:t xml:space="preserve">: Confirmation that these two segments (roughly two-thirds of sales) are tracking in line, with continued margin expansion from the Pentair Business System/80-20 initiatives and productivity (previously guided at ~$70M net for the year).</w:t>
      </w:r>
    </w:p>
    <w:p>
      <w:pPr>
        <w:pStyle w:val="Compact"/>
        <w:numPr>
          <w:ilvl w:val="0"/>
          <w:numId w:val="1001"/>
        </w:numPr>
      </w:pPr>
      <w:r>
        <w:rPr>
          <w:b/>
          <w:bCs/>
        </w:rPr>
        <w:t xml:space="preserve">CFO search progress</w:t>
      </w:r>
      <w:r>
        <w:t xml:space="preserve">: Timeline and profile for a permanent CFO hire, and whether Bob Fishman's return signals stability or is purely a stopgap.</w:t>
      </w:r>
    </w:p>
    <w:p>
      <w:pPr>
        <w:pStyle w:val="Compact"/>
        <w:numPr>
          <w:ilvl w:val="0"/>
          <w:numId w:val="1001"/>
        </w:numPr>
      </w:pPr>
      <w:r>
        <w:rPr>
          <w:b/>
          <w:bCs/>
        </w:rPr>
        <w:t xml:space="preserve">Capital allocation discipline</w:t>
      </w:r>
      <w:r>
        <w:t xml:space="preserve">: The company repurchased roughly 2 million shares for $150 million in Q2, on top of $200 million in Q1 — is aggressive buying back stock at depressed prices still the priority, and is the dividend (Pentair achieved Dividend King status this year with its 50th consecutive annual increase) safe given lower earnings?</w:t>
      </w:r>
    </w:p>
    <w:p>
      <w:pPr>
        <w:pStyle w:val="Compact"/>
        <w:numPr>
          <w:ilvl w:val="0"/>
          <w:numId w:val="1001"/>
        </w:numPr>
      </w:pPr>
      <w:r>
        <w:rPr>
          <w:b/>
          <w:bCs/>
        </w:rPr>
        <w:t xml:space="preserve">Balance sheet/leverage</w:t>
      </w:r>
      <w:r>
        <w:t xml:space="preserve">: With EBITDA guidance now cut to ~$1,050 million for the year, watch net leverage trends (was 1.7x as of Q1) and free cash flow conversion.</w:t>
      </w:r>
    </w:p>
    <w:p>
      <w:pPr>
        <w:pStyle w:val="Compact"/>
        <w:numPr>
          <w:ilvl w:val="0"/>
          <w:numId w:val="1001"/>
        </w:numPr>
      </w:pPr>
      <w:r>
        <w:rPr>
          <w:b/>
          <w:bCs/>
        </w:rPr>
        <w:t xml:space="preserve">2027 setup</w:t>
      </w:r>
      <w:r>
        <w:t xml:space="preserve">: Any early commentary on whether channel inventory will be "right-sized" enough to support a cleaner compare and volume recovery next year.</w:t>
      </w:r>
    </w:p>
    <w:bookmarkEnd w:id="13"/>
    <w:bookmarkStart w:id="14" w:name="valuation-and-technical-backdrop"/>
    <w:p>
      <w:pPr>
        <w:pStyle w:val="Heading2"/>
      </w:pPr>
      <w:r>
        <w:t xml:space="preserve">Valuation and Technical Backdrop</w:t>
      </w:r>
    </w:p>
    <w:p>
      <w:pPr>
        <w:pStyle w:val="FirstParagraph"/>
      </w:pPr>
      <w:r>
        <w:t xml:space="preserve">PNR shares have been cut nearly in half from their 52-week/all-time high near $114 (October 2025) and are down roughly 40% year-to-date. The stock traded around $75-76 just before the pre-announcement, plunged into the low</w:t>
      </w:r>
      <w:r>
        <w:t xml:space="preserve"> </w:t>
      </w:r>
      <m:oMath>
        <m:r>
          <m:t>60</m:t>
        </m:r>
        <m:r>
          <m:t>s</m:t>
        </m:r>
        <m:r>
          <m:rPr>
            <m:sty m:val="p"/>
          </m:rPr>
          <m:t>,</m:t>
        </m:r>
        <m:r>
          <m:t>a</m:t>
        </m:r>
        <m:r>
          <m:t>n</m:t>
        </m:r>
        <m:r>
          <m:t>d</m:t>
        </m:r>
        <m:r>
          <m:t>h</m:t>
        </m:r>
        <m:r>
          <m:t>a</m:t>
        </m:r>
        <m:r>
          <m:t>s</m:t>
        </m:r>
        <m:r>
          <m:t>b</m:t>
        </m:r>
        <m:r>
          <m:t>e</m:t>
        </m:r>
        <m:r>
          <m:t>e</m:t>
        </m:r>
        <m:r>
          <m:t>n</m:t>
        </m:r>
        <m:r>
          <m:t>r</m:t>
        </m:r>
        <m:r>
          <m:t>a</m:t>
        </m:r>
        <m:r>
          <m:t>n</m:t>
        </m:r>
        <m:r>
          <m:t>g</m:t>
        </m:r>
        <m:r>
          <m:t>e</m:t>
        </m:r>
        <m:r>
          <m:t>b</m:t>
        </m:r>
        <m:r>
          <m:t>o</m:t>
        </m:r>
        <m:r>
          <m:t>u</m:t>
        </m:r>
        <m:r>
          <m:t>n</m:t>
        </m:r>
        <m:r>
          <m:t>d</m:t>
        </m:r>
        <m:r>
          <m:t>n</m:t>
        </m:r>
        <m:r>
          <m:t>e</m:t>
        </m:r>
        <m:r>
          <m:t>a</m:t>
        </m:r>
        <m:r>
          <m:t>r</m:t>
        </m:r>
        <m:r>
          <m:t>52</m:t>
        </m:r>
        <m:r>
          <m:rPr>
            <m:sty m:val="p"/>
          </m:rPr>
          <m:t>−</m:t>
        </m:r>
        <m:r>
          <m:t>w</m:t>
        </m:r>
        <m:r>
          <m:t>e</m:t>
        </m:r>
        <m:r>
          <m:t>e</m:t>
        </m:r>
        <m:r>
          <m:t>k</m:t>
        </m:r>
        <m:r>
          <m:t>l</m:t>
        </m:r>
        <m:r>
          <m:t>o</m:t>
        </m:r>
        <m:r>
          <m:t>w</m:t>
        </m:r>
        <m:r>
          <m:t>s</m:t>
        </m:r>
        <m:r>
          <m:rPr>
            <m:sty m:val="p"/>
          </m:rPr>
          <m:t>(</m:t>
        </m:r>
        <m:r>
          <m:t> </m:t>
        </m:r>
      </m:oMath>
      <w:r>
        <w:t xml:space="preserve">57.60–</w:t>
      </w:r>
      <m:oMath>
        <m:r>
          <m:t>64</m:t>
        </m:r>
        <m:r>
          <m:rPr>
            <m:sty m:val="p"/>
          </m:rPr>
          <m:t>)</m:t>
        </m:r>
        <m:r>
          <m:t>s</m:t>
        </m:r>
        <m:r>
          <m:t>i</m:t>
        </m:r>
        <m:r>
          <m:t>n</m:t>
        </m:r>
        <m:r>
          <m:t>c</m:t>
        </m:r>
        <m:r>
          <m:t>e</m:t>
        </m:r>
        <m:r>
          <m:rPr>
            <m:sty m:val="p"/>
          </m:rPr>
          <m:t>.</m:t>
        </m:r>
        <m:r>
          <m:t>S</m:t>
        </m:r>
        <m:r>
          <m:t>e</m:t>
        </m:r>
        <m:r>
          <m:t>l</m:t>
        </m:r>
        <m:r>
          <m:t>l</m:t>
        </m:r>
        <m:r>
          <m:rPr>
            <m:sty m:val="p"/>
          </m:rPr>
          <m:t>−</m:t>
        </m:r>
        <m:r>
          <m:t>s</m:t>
        </m:r>
        <m:r>
          <m:t>i</m:t>
        </m:r>
        <m:r>
          <m:t>d</m:t>
        </m:r>
        <m:r>
          <m:t>e</m:t>
        </m:r>
        <m:r>
          <m:t>p</m:t>
        </m:r>
        <m:r>
          <m:t>r</m:t>
        </m:r>
        <m:r>
          <m:t>i</m:t>
        </m:r>
        <m:r>
          <m:t>c</m:t>
        </m:r>
        <m:r>
          <m:t>e</m:t>
        </m:r>
        <m:r>
          <m:t>t</m:t>
        </m:r>
        <m:r>
          <m:t>a</m:t>
        </m:r>
        <m:r>
          <m:t>r</m:t>
        </m:r>
        <m:r>
          <m:t>g</m:t>
        </m:r>
        <m:r>
          <m:t>e</m:t>
        </m:r>
        <m:r>
          <m:t>t</m:t>
        </m:r>
        <m:r>
          <m:t>s</m:t>
        </m:r>
        <m:r>
          <m:t>h</m:t>
        </m:r>
        <m:r>
          <m:t>a</m:t>
        </m:r>
        <m:r>
          <m:t>v</m:t>
        </m:r>
        <m:r>
          <m:t>e</m:t>
        </m:r>
        <m:r>
          <m:t>b</m:t>
        </m:r>
        <m:r>
          <m:t>e</m:t>
        </m:r>
        <m:r>
          <m:t>e</m:t>
        </m:r>
        <m:r>
          <m:t>n</m:t>
        </m:r>
        <m:r>
          <m:t>c</m:t>
        </m:r>
        <m:r>
          <m:t>u</m:t>
        </m:r>
        <m:r>
          <m:t>t</m:t>
        </m:r>
        <m:r>
          <m:t>b</m:t>
        </m:r>
        <m:r>
          <m:t>r</m:t>
        </m:r>
        <m:r>
          <m:t>o</m:t>
        </m:r>
        <m:r>
          <m:t>a</m:t>
        </m:r>
        <m:r>
          <m:t>d</m:t>
        </m:r>
        <m:r>
          <m:t>l</m:t>
        </m:r>
        <m:r>
          <m:t>y</m:t>
        </m:r>
        <m:r>
          <m:rPr>
            <m:sty m:val="p"/>
          </m:rPr>
          <m:t>—</m:t>
        </m:r>
        <m:r>
          <m:t>f</m:t>
        </m:r>
        <m:r>
          <m:t>r</m:t>
        </m:r>
        <m:r>
          <m:t>o</m:t>
        </m:r>
        <m:r>
          <m:t>m</m:t>
        </m:r>
        <m:r>
          <m:t>t</m:t>
        </m:r>
        <m:r>
          <m:t>h</m:t>
        </m:r>
        <m:r>
          <m:t>e</m:t>
        </m:r>
        <m:r>
          <m:t>l</m:t>
        </m:r>
        <m:r>
          <m:t>o</m:t>
        </m:r>
        <m:r>
          <m:t>w</m:t>
        </m:r>
        <m:r>
          <m:rPr>
            <m:sty m:val="p"/>
          </m:rPr>
          <m:t>−</m:t>
        </m:r>
      </m:oMath>
      <w:r>
        <w:t xml:space="preserve">100s to a cluster now in the</w:t>
      </w:r>
      <w:r>
        <w:t xml:space="preserve"> </w:t>
      </w:r>
      <m:oMath>
        <m:r>
          <m:t>65</m:t>
        </m:r>
        <m:r>
          <m:rPr>
            <m:sty m:val="p"/>
          </m:rPr>
          <m:t>−</m:t>
        </m:r>
      </m:oMath>
      <w:r>
        <w:t xml:space="preserve">95 range — with ratings split between those treating this as a temporary, one-segment inventory shock (e.g., Oppenheimer maintaining "Outperform" with a reduced $94 target) and those turning more cautious on execution risk (RBC downgraded to Sector Perform at $74; Stifel to Hold at $65; Seaport cut to Neutral).</w:t>
      </w:r>
    </w:p>
    <w:bookmarkEnd w:id="14"/>
    <w:bookmarkStart w:id="15" w:name="key-takeaway-for-investors"/>
    <w:p>
      <w:pPr>
        <w:pStyle w:val="Heading2"/>
      </w:pPr>
      <w:r>
        <w:t xml:space="preserve">Key Takeaway for Investors</w:t>
      </w:r>
    </w:p>
    <w:p>
      <w:pPr>
        <w:pStyle w:val="FirstParagraph"/>
      </w:pPr>
      <w:r>
        <w:t xml:space="preserve">The headline surprise element of tomorrow's report is largely defused — the market already knows sales fell ~17%, adjusted EPS came in around $1.12, and full-year guidance has been cut by roughly 15% on the bottom line. What matters now is</w:t>
      </w:r>
      <w:r>
        <w:t xml:space="preserve"> </w:t>
      </w:r>
      <w:r>
        <w:rPr>
          <w:b/>
          <w:bCs/>
        </w:rPr>
        <w:t xml:space="preserve">tone and specificity</w:t>
      </w:r>
      <w:r>
        <w:t xml:space="preserve">: whether management can convincingly demonstrate that (1) the problem is isolated to Pool channel inventory rather than end-demand collapse or share loss, (2) Flow and Water Solutions remain healthy growth/margin engines, and (3) the leadership transition doesn't signal deeper forecasting or controls issues. Given the securities-litigation overhang and a new interim CFO on the call, expect a heavy dose of analyst scrutiny on forecasting discipline and channel-inventory visibility going forward.</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2026-07-28T00:32:16Z</dcterms:created>
  <dcterms:modified xsi:type="dcterms:W3CDTF">2026-07-28T00:32:16Z</dcterms:modified>
</cp:coreProperties>
</file>

<file path=docProps/custom.xml><?xml version="1.0" encoding="utf-8"?>
<Properties xmlns="http://schemas.openxmlformats.org/officeDocument/2006/custom-properties" xmlns:vt="http://schemas.openxmlformats.org/officeDocument/2006/docPropsVTypes"/>
</file>