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pentair-pnr-2026-q2-earnings-preview"/>
    <w:p>
      <w:pPr>
        <w:pStyle w:val="Heading1"/>
      </w:pPr>
      <w:r>
        <w:t xml:space="preserve">Pentair (PNR) 2026 Q2 Earnings Preview</w:t>
      </w:r>
    </w:p>
    <w:p>
      <w:pPr>
        <w:pStyle w:val="BlockText"/>
      </w:pPr>
      <w:r>
        <w:rPr>
          <w:b/>
          <w:bCs/>
        </w:rPr>
        <w:t xml:space="preserve">Date clarification:</w:t>
      </w:r>
      <w:r>
        <w:t xml:space="preserve"> </w:t>
      </w:r>
      <w:r>
        <w:t xml:space="preserve">Pentair is scheduled to report</w:t>
      </w:r>
      <w:r>
        <w:t xml:space="preserve"> </w:t>
      </w:r>
      <w:r>
        <w:rPr>
          <w:b/>
          <w:bCs/>
        </w:rPr>
        <w:t xml:space="preserve">before the market opens today, Tuesday, July 28, 2026</w:t>
      </w:r>
      <w:r>
        <w:t xml:space="preserve">, followed by a</w:t>
      </w:r>
      <w:r>
        <w:t xml:space="preserve"> </w:t>
      </w:r>
      <w:r>
        <w:rPr>
          <w:b/>
          <w:bCs/>
        </w:rPr>
        <w:t xml:space="preserve">9:00 a.m. ET</w:t>
      </w:r>
      <w:r>
        <w:t xml:space="preserve"> </w:t>
      </w:r>
      <w:r>
        <w:t xml:space="preserve">conference call—not tomorrow.</w:t>
      </w:r>
    </w:p>
    <w:bookmarkStart w:id="9" w:name="executive-view"/>
    <w:p>
      <w:pPr>
        <w:pStyle w:val="Heading2"/>
      </w:pPr>
      <w:r>
        <w:t xml:space="preserve">Executive view</w:t>
      </w:r>
    </w:p>
    <w:p>
      <w:pPr>
        <w:pStyle w:val="FirstParagraph"/>
      </w:pPr>
      <w:r>
        <w:t xml:space="preserve">This will not be a conventional beat-or-miss quarter. Pentair already disclosed preliminary Q2 results and sharply reduced its 2026 outlook on July 14. The important questions have shifted from</w:t>
      </w:r>
      <w:r>
        <w:t xml:space="preserve"> </w:t>
      </w:r>
      <w:r>
        <w:rPr>
          <w:b/>
          <w:bCs/>
        </w:rPr>
        <w:t xml:space="preserve">“What did PNR earn?”</w:t>
      </w:r>
      <w:r>
        <w:t xml:space="preserve"> </w:t>
      </w:r>
      <w:r>
        <w:t xml:space="preserve">to:</w:t>
      </w:r>
    </w:p>
    <w:p>
      <w:pPr>
        <w:pStyle w:val="Compact"/>
        <w:numPr>
          <w:ilvl w:val="0"/>
          <w:numId w:val="1001"/>
        </w:numPr>
      </w:pPr>
      <w:r>
        <w:rPr>
          <w:b/>
          <w:bCs/>
        </w:rPr>
        <w:t xml:space="preserve">How did Pool channel inventory become so misaligned?</w:t>
      </w:r>
    </w:p>
    <w:p>
      <w:pPr>
        <w:pStyle w:val="Compact"/>
        <w:numPr>
          <w:ilvl w:val="0"/>
          <w:numId w:val="1001"/>
        </w:numPr>
      </w:pPr>
      <w:r>
        <w:rPr>
          <w:b/>
          <w:bCs/>
        </w:rPr>
        <w:t xml:space="preserve">Is the new guidance sufficiently conservative?</w:t>
      </w:r>
    </w:p>
    <w:p>
      <w:pPr>
        <w:pStyle w:val="Compact"/>
        <w:numPr>
          <w:ilvl w:val="0"/>
          <w:numId w:val="1001"/>
        </w:numPr>
      </w:pPr>
      <w:r>
        <w:rPr>
          <w:b/>
          <w:bCs/>
        </w:rPr>
        <w:t xml:space="preserve">When will channel inventories normalize, and what does that mean for 2027?</w:t>
      </w:r>
    </w:p>
    <w:p>
      <w:pPr>
        <w:pStyle w:val="Compact"/>
        <w:numPr>
          <w:ilvl w:val="0"/>
          <w:numId w:val="1001"/>
        </w:numPr>
      </w:pPr>
      <w:r>
        <w:rPr>
          <w:b/>
          <w:bCs/>
        </w:rPr>
        <w:t xml:space="preserve">Can investors still rely on the company’s 2028 targets?</w:t>
      </w:r>
    </w:p>
    <w:p>
      <w:pPr>
        <w:pStyle w:val="Compact"/>
        <w:numPr>
          <w:ilvl w:val="0"/>
          <w:numId w:val="1001"/>
        </w:numPr>
      </w:pPr>
      <w:r>
        <w:rPr>
          <w:b/>
          <w:bCs/>
        </w:rPr>
        <w:t xml:space="preserve">Does the simultaneous CFO transition signal a broader forecasting or execution problem?</w:t>
      </w:r>
    </w:p>
    <w:p>
      <w:pPr>
        <w:pStyle w:val="FirstParagraph"/>
      </w:pPr>
      <w:r>
        <w:t xml:space="preserve">The stock has already absorbed a substantial reset, falling from</w:t>
      </w:r>
      <w:r>
        <w:t xml:space="preserve"> </w:t>
      </w:r>
      <w:r>
        <w:rPr>
          <w:b/>
          <w:bCs/>
        </w:rPr>
        <w:t xml:space="preserve">$75.68 on July 14 to $63.20 on July 27</w:t>
      </w:r>
      <w:r>
        <w:t xml:space="preserve">, a decline of roughly 16%. That reduces the hurdle for the report, but management must restore credibility before the shares can sustainably rerate.</w:t>
      </w:r>
    </w:p>
    <w:p>
      <w:r>
        <w:pict>
          <v:rect style="width:0;height:1.5pt" o:hralign="center" o:hrstd="t" o:hr="t"/>
        </w:pict>
      </w:r>
    </w:p>
    <w:bookmarkEnd w:id="9"/>
    <w:bookmarkStart w:id="12" w:name="what-has-already-been-disclosed"/>
    <w:p>
      <w:pPr>
        <w:pStyle w:val="Heading2"/>
      </w:pPr>
      <w:r>
        <w:t xml:space="preserve">What has already been disclosed</w:t>
      </w:r>
    </w:p>
    <w:bookmarkStart w:id="10" w:name="preliminary-q2-results"/>
    <w:p>
      <w:pPr>
        <w:pStyle w:val="Heading3"/>
      </w:pPr>
      <w:r>
        <w:t xml:space="preserve">Preliminary Q2 results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Preliminary Q2 2026</w:t>
            </w:r>
          </w:p>
        </w:tc>
        <w:tc>
          <w:tcPr/>
          <w:p>
            <w:pPr>
              <w:pStyle w:val="Compact"/>
              <w:jc w:val="right"/>
            </w:pPr>
            <w:r>
              <w:t xml:space="preserve">Prior guidance</w:t>
            </w:r>
          </w:p>
        </w:tc>
        <w:tc>
          <w:tcPr/>
          <w:p>
            <w:pPr>
              <w:pStyle w:val="Compact"/>
              <w:jc w:val="right"/>
            </w:pPr>
            <w:r>
              <w:t xml:space="preserve">Q2 2025</w:t>
            </w:r>
          </w:p>
        </w:tc>
        <w:tc>
          <w:tcPr/>
          <w:p>
            <w:pPr>
              <w:pStyle w:val="Compact"/>
              <w:jc w:val="right"/>
            </w:pPr>
            <w:r>
              <w:t xml:space="preserve">YoY change</w:t>
            </w:r>
          </w:p>
        </w:tc>
      </w:tr>
      <w:tr>
        <w:tc>
          <w:tcPr/>
          <w:p>
            <w:pPr>
              <w:pStyle w:val="Compact"/>
            </w:pPr>
            <w:r>
              <w:t xml:space="preserve">Revenue</w:t>
            </w:r>
          </w:p>
        </w:tc>
        <w:tc>
          <w:tcPr/>
          <w:p>
            <w:pPr>
              <w:pStyle w:val="Compact"/>
              <w:jc w:val="right"/>
            </w:pPr>
            <w:r>
              <w:t xml:space="preserve">Approximately</w:t>
            </w:r>
            <w:r>
              <w:t xml:space="preserve"> </w:t>
            </w:r>
            <w:r>
              <w:rPr>
                <w:b/>
                <w:bCs/>
              </w:rPr>
              <w:t xml:space="preserve">$930M</w:t>
            </w:r>
          </w:p>
        </w:tc>
        <w:tc>
          <w:tcPr/>
          <w:p>
            <w:pPr>
              <w:pStyle w:val="Compact"/>
              <w:jc w:val="right"/>
            </w:pPr>
            <w:r>
              <w:t xml:space="preserve">Approximately +1%</w:t>
            </w:r>
          </w:p>
        </w:tc>
        <w:tc>
          <w:tcPr/>
          <w:p>
            <w:pPr>
              <w:pStyle w:val="Compact"/>
              <w:jc w:val="right"/>
            </w:pPr>
            <w:r>
              <w:t xml:space="preserve">$1.123B</w:t>
            </w:r>
          </w:p>
        </w:tc>
        <w:tc>
          <w:tcPr/>
          <w:p>
            <w:pPr>
              <w:pStyle w:val="Compact"/>
              <w:jc w:val="right"/>
            </w:pPr>
            <w:r>
              <w:rPr>
                <w:b/>
                <w:bCs/>
              </w:rPr>
              <w:t xml:space="preserve">-17%</w:t>
            </w:r>
          </w:p>
        </w:tc>
      </w:tr>
      <w:tr>
        <w:tc>
          <w:tcPr/>
          <w:p>
            <w:pPr>
              <w:pStyle w:val="Compact"/>
            </w:pPr>
            <w:r>
              <w:t xml:space="preserve">Adjusted operating income</w:t>
            </w:r>
          </w:p>
        </w:tc>
        <w:tc>
          <w:tcPr/>
          <w:p>
            <w:pPr>
              <w:pStyle w:val="Compact"/>
              <w:jc w:val="right"/>
            </w:pPr>
            <w:r>
              <w:t xml:space="preserve">Approximately</w:t>
            </w:r>
            <w:r>
              <w:t xml:space="preserve"> </w:t>
            </w:r>
            <w:r>
              <w:rPr>
                <w:b/>
                <w:bCs/>
              </w:rPr>
              <w:t xml:space="preserve">$235M</w:t>
            </w:r>
          </w:p>
        </w:tc>
        <w:tc>
          <w:tcPr/>
          <w:p>
            <w:pPr>
              <w:pStyle w:val="Compact"/>
              <w:jc w:val="right"/>
            </w:pPr>
            <w:r>
              <w:t xml:space="preserve">—</w:t>
            </w:r>
          </w:p>
        </w:tc>
        <w:tc>
          <w:tcPr/>
          <w:p>
            <w:pPr>
              <w:pStyle w:val="Compact"/>
              <w:jc w:val="right"/>
            </w:pPr>
            <w:r>
              <w:t xml:space="preserve">$296.7M</w:t>
            </w:r>
          </w:p>
        </w:tc>
        <w:tc>
          <w:tcPr/>
          <w:p>
            <w:pPr>
              <w:pStyle w:val="Compact"/>
              <w:jc w:val="right"/>
            </w:pPr>
            <w:r>
              <w:rPr>
                <w:b/>
                <w:bCs/>
              </w:rPr>
              <w:t xml:space="preserve">-21%</w:t>
            </w:r>
          </w:p>
        </w:tc>
      </w:tr>
      <w:tr>
        <w:tc>
          <w:tcPr/>
          <w:p>
            <w:pPr>
              <w:pStyle w:val="Compact"/>
            </w:pPr>
            <w:r>
              <w:t xml:space="preserve">Adjusted operating margin</w:t>
            </w:r>
          </w:p>
        </w:tc>
        <w:tc>
          <w:tcPr/>
          <w:p>
            <w:pPr>
              <w:pStyle w:val="Compact"/>
              <w:jc w:val="right"/>
            </w:pPr>
            <w:r>
              <w:t xml:space="preserve">Approximately</w:t>
            </w:r>
            <w:r>
              <w:t xml:space="preserve"> </w:t>
            </w:r>
            <w:r>
              <w:rPr>
                <w:b/>
                <w:bCs/>
              </w:rPr>
              <w:t xml:space="preserve">25.3%</w:t>
            </w:r>
          </w:p>
        </w:tc>
        <w:tc>
          <w:tcPr/>
          <w:p>
            <w:pPr>
              <w:pStyle w:val="Compact"/>
              <w:jc w:val="right"/>
            </w:pPr>
            <w:r>
              <w:t xml:space="preserve">—</w:t>
            </w:r>
          </w:p>
        </w:tc>
        <w:tc>
          <w:tcPr/>
          <w:p>
            <w:pPr>
              <w:pStyle w:val="Compact"/>
              <w:jc w:val="right"/>
            </w:pPr>
            <w:r>
              <w:t xml:space="preserve">26.4%</w:t>
            </w:r>
          </w:p>
        </w:tc>
        <w:tc>
          <w:tcPr/>
          <w:p>
            <w:pPr>
              <w:pStyle w:val="Compact"/>
              <w:jc w:val="right"/>
            </w:pPr>
            <w:r>
              <w:rPr>
                <w:b/>
                <w:bCs/>
              </w:rPr>
              <w:t xml:space="preserve">-110 bps</w:t>
            </w:r>
          </w:p>
        </w:tc>
      </w:tr>
      <w:tr>
        <w:tc>
          <w:tcPr/>
          <w:p>
            <w:pPr>
              <w:pStyle w:val="Compact"/>
            </w:pPr>
            <w:r>
              <w:t xml:space="preserve">Adjusted EPS</w:t>
            </w:r>
          </w:p>
        </w:tc>
        <w:tc>
          <w:tcPr/>
          <w:p>
            <w:pPr>
              <w:pStyle w:val="Compact"/>
              <w:jc w:val="right"/>
            </w:pPr>
            <w:r>
              <w:t xml:space="preserve">Approximately</w:t>
            </w:r>
            <w:r>
              <w:t xml:space="preserve"> </w:t>
            </w:r>
            <w:r>
              <w:rPr>
                <w:b/>
                <w:bCs/>
              </w:rPr>
              <w:t xml:space="preserve">$1.12</w:t>
            </w:r>
          </w:p>
        </w:tc>
        <w:tc>
          <w:tcPr/>
          <w:p>
            <w:pPr>
              <w:pStyle w:val="Compact"/>
              <w:jc w:val="right"/>
            </w:pPr>
            <m:oMath>
              <m:r>
                <m:t>1.47</m:t>
              </m:r>
              <m:r>
                <m:rPr>
                  <m:sty m:val="p"/>
                </m:rPr>
                <m:t>–</m:t>
              </m:r>
            </m:oMath>
            <w:r>
              <w:t xml:space="preserve">1.50</w:t>
            </w:r>
          </w:p>
        </w:tc>
        <w:tc>
          <w:tcPr/>
          <w:p>
            <w:pPr>
              <w:pStyle w:val="Compact"/>
              <w:jc w:val="right"/>
            </w:pPr>
            <w:r>
              <w:t xml:space="preserve">$1.39</w:t>
            </w:r>
          </w:p>
        </w:tc>
        <w:tc>
          <w:tcPr/>
          <w:p>
            <w:pPr>
              <w:pStyle w:val="Compact"/>
              <w:jc w:val="right"/>
            </w:pPr>
            <w:r>
              <w:rPr>
                <w:b/>
                <w:bCs/>
              </w:rPr>
              <w:t xml:space="preserve">-19%</w:t>
            </w:r>
          </w:p>
        </w:tc>
      </w:tr>
      <w:tr>
        <w:tc>
          <w:tcPr/>
          <w:p>
            <w:pPr>
              <w:pStyle w:val="Compact"/>
            </w:pPr>
            <w:r>
              <w:t xml:space="preserve">GAAP EPS</w:t>
            </w:r>
          </w:p>
        </w:tc>
        <w:tc>
          <w:tcPr/>
          <w:p>
            <w:pPr>
              <w:pStyle w:val="Compact"/>
              <w:jc w:val="right"/>
            </w:pPr>
            <w:r>
              <w:t xml:space="preserve">Approximately</w:t>
            </w:r>
            <w:r>
              <w:t xml:space="preserve"> </w:t>
            </w:r>
            <w:r>
              <w:rPr>
                <w:b/>
                <w:bCs/>
              </w:rPr>
              <w:t xml:space="preserve">$0.80</w:t>
            </w:r>
          </w:p>
        </w:tc>
        <w:tc>
          <w:tcPr/>
          <w:p>
            <w:pPr>
              <w:pStyle w:val="Compact"/>
              <w:jc w:val="right"/>
            </w:pPr>
            <m:oMath>
              <m:r>
                <m:t>1.39</m:t>
              </m:r>
              <m:r>
                <m:rPr>
                  <m:sty m:val="p"/>
                </m:rPr>
                <m:t>–</m:t>
              </m:r>
            </m:oMath>
            <w:r>
              <w:t xml:space="preserve">1.42</w:t>
            </w:r>
          </w:p>
        </w:tc>
        <w:tc>
          <w:tcPr/>
          <w:p>
            <w:pPr>
              <w:pStyle w:val="Compact"/>
              <w:jc w:val="right"/>
            </w:pPr>
            <w:r>
              <w:t xml:space="preserve">$0.90</w:t>
            </w:r>
          </w:p>
        </w:tc>
        <w:tc>
          <w:tcPr/>
          <w:p>
            <w:pPr>
              <w:pStyle w:val="Compact"/>
              <w:jc w:val="right"/>
            </w:pPr>
            <w:r>
              <w:rPr>
                <w:b/>
                <w:bCs/>
              </w:rPr>
              <w:t xml:space="preserve">-11%</w:t>
            </w:r>
          </w:p>
        </w:tc>
      </w:tr>
    </w:tbl>
    <w:p>
      <w:pPr>
        <w:pStyle w:val="BodyText"/>
      </w:pPr>
      <w:r>
        <w:t xml:space="preserve">The primary problem was Pool channel inventory. Pentair estimates that Q2 destocking reduced:</w:t>
      </w:r>
    </w:p>
    <w:p>
      <w:pPr>
        <w:pStyle w:val="Compact"/>
        <w:numPr>
          <w:ilvl w:val="0"/>
          <w:numId w:val="1002"/>
        </w:numPr>
      </w:pPr>
      <w:r>
        <w:rPr>
          <w:b/>
          <w:bCs/>
        </w:rPr>
        <w:t xml:space="preserve">Pool sales by approximately $170 million</w:t>
      </w:r>
    </w:p>
    <w:p>
      <w:pPr>
        <w:pStyle w:val="Compact"/>
        <w:numPr>
          <w:ilvl w:val="0"/>
          <w:numId w:val="1002"/>
        </w:numPr>
      </w:pPr>
      <w:r>
        <w:rPr>
          <w:b/>
          <w:bCs/>
        </w:rPr>
        <w:t xml:space="preserve">Pool segment income by approximately $105 million</w:t>
      </w:r>
    </w:p>
    <w:p>
      <w:pPr>
        <w:pStyle w:val="FirstParagraph"/>
      </w:pPr>
      <w:r>
        <w:t xml:space="preserve">That implies an unusually high decremental margin of roughly</w:t>
      </w:r>
      <w:r>
        <w:t xml:space="preserve"> </w:t>
      </w:r>
      <w:r>
        <w:rPr>
          <w:b/>
          <w:bCs/>
        </w:rPr>
        <w:t xml:space="preserve">62%</w:t>
      </w:r>
      <w:r>
        <w:t xml:space="preserve">, consistent with the high fixed-cost and high-margin nature of the Pool business.</w:t>
      </w:r>
    </w:p>
    <w:p>
      <w:pPr>
        <w:pStyle w:val="BodyText"/>
      </w:pPr>
      <w:r>
        <w:t xml:space="preserve">Q2 also includes approximately</w:t>
      </w:r>
      <w:r>
        <w:t xml:space="preserve"> </w:t>
      </w:r>
      <m:oMath>
        <m:r>
          <m:t>35</m:t>
        </m:r>
        <m:r>
          <m:t>m</m:t>
        </m:r>
        <m:r>
          <m:t>i</m:t>
        </m:r>
        <m:r>
          <m:t>l</m:t>
        </m:r>
        <m:r>
          <m:t>l</m:t>
        </m:r>
        <m:r>
          <m:t>i</m:t>
        </m:r>
        <m:r>
          <m:t>o</m:t>
        </m:r>
        <m:r>
          <m:t>n</m:t>
        </m:r>
        <m:r>
          <m:t>o</m:t>
        </m:r>
        <m:r>
          <m:t>f</m:t>
        </m:r>
        <m:r>
          <m:t>r</m:t>
        </m:r>
        <m:r>
          <m:t>e</m:t>
        </m:r>
        <m:r>
          <m:t>f</m:t>
        </m:r>
        <m:r>
          <m:t>u</m:t>
        </m:r>
        <m:r>
          <m:t>n</m:t>
        </m:r>
        <m:r>
          <m:t>d</m:t>
        </m:r>
        <m:r>
          <m:t>s</m:t>
        </m:r>
        <m:r>
          <m:rPr>
            <m:sty m:val="p"/>
          </m:rPr>
          <m:t>*</m:t>
        </m:r>
        <m:r>
          <m:rPr>
            <m:sty m:val="p"/>
          </m:rPr>
          <m:t>*</m:t>
        </m:r>
        <m:r>
          <m:t>r</m:t>
        </m:r>
        <m:r>
          <m:t>e</m:t>
        </m:r>
        <m:r>
          <m:t>l</m:t>
        </m:r>
        <m:r>
          <m:t>a</m:t>
        </m:r>
        <m:r>
          <m:t>t</m:t>
        </m:r>
        <m:r>
          <m:t>e</m:t>
        </m:r>
        <m:r>
          <m:t>d</m:t>
        </m:r>
        <m:r>
          <m:t>t</m:t>
        </m:r>
        <m:r>
          <m:t>o</m:t>
        </m:r>
        <m:r>
          <m:t>t</m:t>
        </m:r>
        <m:r>
          <m:t>a</m:t>
        </m:r>
        <m:r>
          <m:t>r</m:t>
        </m:r>
        <m:r>
          <m:t>i</m:t>
        </m:r>
        <m:r>
          <m:t>f</m:t>
        </m:r>
        <m:r>
          <m:t>f</m:t>
        </m:r>
        <m:r>
          <m:t>s</m:t>
        </m:r>
        <m:r>
          <m:t>p</m:t>
        </m:r>
        <m:r>
          <m:t>r</m:t>
        </m:r>
        <m:r>
          <m:t>e</m:t>
        </m:r>
        <m:r>
          <m:t>v</m:t>
        </m:r>
        <m:r>
          <m:t>i</m:t>
        </m:r>
        <m:r>
          <m:t>o</m:t>
        </m:r>
        <m:r>
          <m:t>u</m:t>
        </m:r>
        <m:r>
          <m:t>s</m:t>
        </m:r>
        <m:r>
          <m:t>l</m:t>
        </m:r>
        <m:r>
          <m:t>y</m:t>
        </m:r>
        <m:r>
          <m:t>c</m:t>
        </m:r>
        <m:r>
          <m:t>o</m:t>
        </m:r>
        <m:r>
          <m:t>l</m:t>
        </m:r>
        <m:r>
          <m:t>l</m:t>
        </m:r>
        <m:r>
          <m:t>e</m:t>
        </m:r>
        <m:r>
          <m:t>c</m:t>
        </m:r>
        <m:r>
          <m:t>t</m:t>
        </m:r>
        <m:r>
          <m:t>e</m:t>
        </m:r>
        <m:r>
          <m:t>d</m:t>
        </m:r>
        <m:r>
          <m:t>u</m:t>
        </m:r>
        <m:r>
          <m:t>n</m:t>
        </m:r>
        <m:r>
          <m:t>d</m:t>
        </m:r>
        <m:r>
          <m:t>e</m:t>
        </m:r>
        <m:r>
          <m:t>r</m:t>
        </m:r>
        <m:r>
          <m:t>t</m:t>
        </m:r>
        <m:r>
          <m:t>h</m:t>
        </m:r>
        <m:r>
          <m:t>e</m:t>
        </m:r>
        <m:r>
          <m:t>I</m:t>
        </m:r>
        <m:r>
          <m:t>n</m:t>
        </m:r>
        <m:r>
          <m:t>t</m:t>
        </m:r>
        <m:r>
          <m:t>e</m:t>
        </m:r>
        <m:r>
          <m:t>r</m:t>
        </m:r>
        <m:r>
          <m:t>n</m:t>
        </m:r>
        <m:r>
          <m:t>a</m:t>
        </m:r>
        <m:r>
          <m:t>t</m:t>
        </m:r>
        <m:r>
          <m:t>i</m:t>
        </m:r>
        <m:r>
          <m:t>o</m:t>
        </m:r>
        <m:r>
          <m:t>n</m:t>
        </m:r>
        <m:r>
          <m:t>a</m:t>
        </m:r>
        <m:r>
          <m:t>l</m:t>
        </m:r>
        <m:r>
          <m:t>E</m:t>
        </m:r>
        <m:r>
          <m:t>m</m:t>
        </m:r>
        <m:r>
          <m:t>e</m:t>
        </m:r>
        <m:r>
          <m:t>r</m:t>
        </m:r>
        <m:r>
          <m:t>g</m:t>
        </m:r>
        <m:r>
          <m:t>e</m:t>
        </m:r>
        <m:r>
          <m:t>n</m:t>
        </m:r>
        <m:r>
          <m:t>c</m:t>
        </m:r>
        <m:r>
          <m:t>y</m:t>
        </m:r>
        <m:r>
          <m:t>E</m:t>
        </m:r>
        <m:r>
          <m:t>c</m:t>
        </m:r>
        <m:r>
          <m:t>o</m:t>
        </m:r>
        <m:r>
          <m:t>n</m:t>
        </m:r>
        <m:r>
          <m:t>o</m:t>
        </m:r>
        <m:r>
          <m:t>m</m:t>
        </m:r>
        <m:r>
          <m:t>i</m:t>
        </m:r>
        <m:r>
          <m:t>c</m:t>
        </m:r>
        <m:r>
          <m:t>P</m:t>
        </m:r>
        <m:r>
          <m:t>o</m:t>
        </m:r>
        <m:r>
          <m:t>w</m:t>
        </m:r>
        <m:r>
          <m:t>e</m:t>
        </m:r>
        <m:r>
          <m:t>r</m:t>
        </m:r>
        <m:r>
          <m:t>s</m:t>
        </m:r>
        <m:r>
          <m:t>A</m:t>
        </m:r>
        <m:r>
          <m:t>c</m:t>
        </m:r>
        <m:r>
          <m:t>t</m:t>
        </m:r>
        <m:r>
          <m:rPr>
            <m:sty m:val="p"/>
          </m:rPr>
          <m:t>,</m:t>
        </m:r>
        <m:r>
          <m:t>o</m:t>
        </m:r>
        <m:r>
          <m:t>r</m:t>
        </m:r>
        <m:r>
          <m:t>I</m:t>
        </m:r>
        <m:r>
          <m:t>E</m:t>
        </m:r>
        <m:r>
          <m:t>E</m:t>
        </m:r>
        <m:r>
          <m:t>P</m:t>
        </m:r>
        <m:r>
          <m:t>A</m:t>
        </m:r>
        <m:r>
          <m:rPr>
            <m:sty m:val="p"/>
          </m:rPr>
          <m:t>.</m:t>
        </m:r>
        <m:r>
          <m:t>E</m:t>
        </m:r>
        <m:r>
          <m:t>x</m:t>
        </m:r>
        <m:r>
          <m:t>c</m:t>
        </m:r>
        <m:r>
          <m:t>l</m:t>
        </m:r>
        <m:r>
          <m:t>u</m:t>
        </m:r>
        <m:r>
          <m:t>d</m:t>
        </m:r>
        <m:r>
          <m:t>i</m:t>
        </m:r>
        <m:r>
          <m:t>n</m:t>
        </m:r>
        <m:r>
          <m:t>g</m:t>
        </m:r>
        <m:r>
          <m:t>t</m:t>
        </m:r>
        <m:r>
          <m:t>h</m:t>
        </m:r>
        <m:r>
          <m:t>a</m:t>
        </m:r>
        <m:r>
          <m:t>t</m:t>
        </m:r>
        <m:r>
          <m:t>b</m:t>
        </m:r>
        <m:r>
          <m:t>e</m:t>
        </m:r>
        <m:r>
          <m:t>n</m:t>
        </m:r>
        <m:r>
          <m:t>e</m:t>
        </m:r>
        <m:r>
          <m:t>f</m:t>
        </m:r>
        <m:r>
          <m:t>i</m:t>
        </m:r>
        <m:r>
          <m:t>t</m:t>
        </m:r>
        <m:r>
          <m:rPr>
            <m:sty m:val="p"/>
          </m:rPr>
          <m:t>,</m:t>
        </m:r>
        <m:r>
          <m:t>u</m:t>
        </m:r>
        <m:r>
          <m:t>n</m:t>
        </m:r>
        <m:r>
          <m:t>d</m:t>
        </m:r>
        <m:r>
          <m:t>e</m:t>
        </m:r>
        <m:r>
          <m:t>r</m:t>
        </m:r>
        <m:r>
          <m:t>l</m:t>
        </m:r>
        <m:r>
          <m:t>y</m:t>
        </m:r>
        <m:r>
          <m:t>i</m:t>
        </m:r>
        <m:r>
          <m:t>n</m:t>
        </m:r>
        <m:r>
          <m:t>g</m:t>
        </m:r>
        <m:r>
          <m:t>a</m:t>
        </m:r>
        <m:r>
          <m:t>d</m:t>
        </m:r>
        <m:r>
          <m:t>j</m:t>
        </m:r>
        <m:r>
          <m:t>u</m:t>
        </m:r>
        <m:r>
          <m:t>s</m:t>
        </m:r>
        <m:r>
          <m:t>t</m:t>
        </m:r>
        <m:r>
          <m:t>e</m:t>
        </m:r>
        <m:r>
          <m:t>d</m:t>
        </m:r>
        <m:r>
          <m:t>o</m:t>
        </m:r>
        <m:r>
          <m:t>p</m:t>
        </m:r>
        <m:r>
          <m:t>e</m:t>
        </m:r>
        <m:r>
          <m:t>r</m:t>
        </m:r>
        <m:r>
          <m:t>a</m:t>
        </m:r>
        <m:r>
          <m:t>t</m:t>
        </m:r>
        <m:r>
          <m:t>i</m:t>
        </m:r>
        <m:r>
          <m:t>n</m:t>
        </m:r>
        <m:r>
          <m:t>g</m:t>
        </m:r>
        <m:r>
          <m:t>i</m:t>
        </m:r>
        <m:r>
          <m:t>n</m:t>
        </m:r>
        <m:r>
          <m:t>c</m:t>
        </m:r>
        <m:r>
          <m:t>o</m:t>
        </m:r>
        <m:r>
          <m:t>m</m:t>
        </m:r>
        <m:r>
          <m:t>e</m:t>
        </m:r>
        <m:r>
          <m:t>w</m:t>
        </m:r>
        <m:r>
          <m:t>o</m:t>
        </m:r>
        <m:r>
          <m:t>u</m:t>
        </m:r>
        <m:r>
          <m:t>l</m:t>
        </m:r>
        <m:r>
          <m:t>d</m:t>
        </m:r>
        <m:r>
          <m:t>h</m:t>
        </m:r>
        <m:r>
          <m:t>a</m:t>
        </m:r>
        <m:r>
          <m:t>v</m:t>
        </m:r>
        <m:r>
          <m:t>e</m:t>
        </m:r>
        <m:r>
          <m:t>b</m:t>
        </m:r>
        <m:r>
          <m:t>e</m:t>
        </m:r>
        <m:r>
          <m:t>e</m:t>
        </m:r>
        <m:r>
          <m:t>n</m:t>
        </m:r>
        <m:r>
          <m:t>c</m:t>
        </m:r>
        <m:r>
          <m:t>l</m:t>
        </m:r>
        <m:r>
          <m:t>o</m:t>
        </m:r>
        <m:r>
          <m:t>s</m:t>
        </m:r>
        <m:r>
          <m:t>e</m:t>
        </m:r>
        <m:r>
          <m:t>r</m:t>
        </m:r>
        <m:r>
          <m:t>t</m:t>
        </m:r>
        <m:r>
          <m:t>o</m:t>
        </m:r>
        <m:r>
          <m:rPr>
            <m:sty m:val="p"/>
          </m:rPr>
          <m:t>*</m:t>
        </m:r>
        <m:r>
          <m:rPr>
            <m:sty m:val="p"/>
          </m:rPr>
          <m:t>*</m:t>
        </m:r>
      </m:oMath>
      <w:r>
        <w:rPr>
          <w:b/>
          <w:bCs/>
        </w:rPr>
        <w:t xml:space="preserve">200 million</w:t>
      </w:r>
      <w:r>
        <w:t xml:space="preserve">, implying an underlying adjusted margin of only about</w:t>
      </w:r>
      <w:r>
        <w:t xml:space="preserve"> </w:t>
      </w:r>
      <w:r>
        <w:rPr>
          <w:b/>
          <w:bCs/>
        </w:rPr>
        <w:t xml:space="preserve">21.5%</w:t>
      </w:r>
      <w:r>
        <w:t xml:space="preserve">.</w:t>
      </w:r>
    </w:p>
    <w:p>
      <w:pPr>
        <w:pStyle w:val="BodyText"/>
      </w:pPr>
      <w:r>
        <w:t xml:space="preserve">That distinction matters: the reported 25% adjusted margin looks resilient, but a meaningful portion is being supported by a nonrecurring refund rather than current operating performance.</w:t>
      </w:r>
    </w:p>
    <w:bookmarkEnd w:id="10"/>
    <w:bookmarkStart w:id="11" w:name="revised-2026-guidance"/>
    <w:p>
      <w:pPr>
        <w:pStyle w:val="Heading3"/>
      </w:pPr>
      <w:r>
        <w:t xml:space="preserve">Revised 2026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New 2026 guidance</w:t>
            </w:r>
          </w:p>
        </w:tc>
        <w:tc>
          <w:tcPr/>
          <w:p>
            <w:pPr>
              <w:pStyle w:val="Compact"/>
              <w:jc w:val="right"/>
            </w:pPr>
            <w:r>
              <w:t xml:space="preserve">Previous guidance</w:t>
            </w:r>
          </w:p>
        </w:tc>
      </w:tr>
      <w:tr>
        <w:tc>
          <w:tcPr/>
          <w:p>
            <w:pPr>
              <w:pStyle w:val="Compact"/>
            </w:pPr>
            <w:r>
              <w:t xml:space="preserve">Revenue growth</w:t>
            </w:r>
          </w:p>
        </w:tc>
        <w:tc>
          <w:tcPr/>
          <w:p>
            <w:pPr>
              <w:pStyle w:val="Compact"/>
              <w:jc w:val="right"/>
            </w:pPr>
            <w:r>
              <w:rPr>
                <w:b/>
                <w:bCs/>
              </w:rPr>
              <w:t xml:space="preserve">Down 4% to 7%</w:t>
            </w:r>
          </w:p>
        </w:tc>
        <w:tc>
          <w:tcPr/>
          <w:p>
            <w:pPr>
              <w:pStyle w:val="Compact"/>
              <w:jc w:val="right"/>
            </w:pPr>
            <w:r>
              <w:t xml:space="preserve">Up 2% to 4%</w:t>
            </w:r>
          </w:p>
        </w:tc>
      </w:tr>
      <w:tr>
        <w:tc>
          <w:tcPr/>
          <w:p>
            <w:pPr>
              <w:pStyle w:val="Compact"/>
            </w:pPr>
            <w:r>
              <w:t xml:space="preserve">Adjusted operating income</w:t>
            </w:r>
          </w:p>
        </w:tc>
        <w:tc>
          <w:tcPr/>
          <w:p>
            <w:pPr>
              <w:pStyle w:val="Compact"/>
              <w:jc w:val="right"/>
            </w:pPr>
            <w:r>
              <w:rPr>
                <w:b/>
                <w:bCs/>
              </w:rPr>
              <w:t xml:space="preserve">Down 5% to 9%</w:t>
            </w:r>
          </w:p>
        </w:tc>
        <w:tc>
          <w:tcPr/>
          <w:p>
            <w:pPr>
              <w:pStyle w:val="Compact"/>
              <w:jc w:val="right"/>
            </w:pPr>
            <w:r>
              <w:t xml:space="preserve">Up 6% to 8%</w:t>
            </w:r>
          </w:p>
        </w:tc>
      </w:tr>
      <w:tr>
        <w:tc>
          <w:tcPr/>
          <w:p>
            <w:pPr>
              <w:pStyle w:val="Compact"/>
            </w:pPr>
            <w:r>
              <w:t xml:space="preserve">Adjusted EPS</w:t>
            </w:r>
          </w:p>
        </w:tc>
        <w:tc>
          <w:tcPr/>
          <w:p>
            <w:pPr>
              <w:pStyle w:val="Compact"/>
              <w:jc w:val="right"/>
            </w:pPr>
            <m:oMath>
              <m:r>
                <m:t>4.60</m:t>
              </m:r>
              <m:r>
                <m:rPr>
                  <m:sty m:val="p"/>
                </m:rPr>
                <m:t>–</m:t>
              </m:r>
            </m:oMath>
            <w:r>
              <w:rPr>
                <w:b/>
                <w:bCs/>
              </w:rPr>
              <w:t xml:space="preserve">4.80</w:t>
            </w:r>
          </w:p>
        </w:tc>
        <w:tc>
          <w:tcPr/>
          <w:p>
            <w:pPr>
              <w:pStyle w:val="Compact"/>
              <w:jc w:val="right"/>
            </w:pPr>
            <m:oMath>
              <m:r>
                <m:t>5.30</m:t>
              </m:r>
              <m:r>
                <m:rPr>
                  <m:sty m:val="p"/>
                </m:rPr>
                <m:t>–</m:t>
              </m:r>
            </m:oMath>
            <w:r>
              <w:t xml:space="preserve">5.40</w:t>
            </w:r>
          </w:p>
        </w:tc>
      </w:tr>
      <w:tr>
        <w:tc>
          <w:tcPr/>
          <w:p>
            <w:pPr>
              <w:pStyle w:val="Compact"/>
            </w:pPr>
            <w:r>
              <w:t xml:space="preserve">GAAP EPS</w:t>
            </w:r>
          </w:p>
        </w:tc>
        <w:tc>
          <w:tcPr/>
          <w:p>
            <w:pPr>
              <w:pStyle w:val="Compact"/>
              <w:jc w:val="right"/>
            </w:pPr>
            <m:oMath>
              <m:r>
                <m:t>3.90</m:t>
              </m:r>
              <m:r>
                <m:rPr>
                  <m:sty m:val="p"/>
                </m:rPr>
                <m:t>–</m:t>
              </m:r>
            </m:oMath>
            <w:r>
              <w:rPr>
                <w:b/>
                <w:bCs/>
              </w:rPr>
              <w:t xml:space="preserve">4.10</w:t>
            </w:r>
          </w:p>
        </w:tc>
        <w:tc>
          <w:tcPr/>
          <w:p>
            <w:pPr>
              <w:pStyle w:val="Compact"/>
              <w:jc w:val="right"/>
            </w:pPr>
            <m:oMath>
              <m:r>
                <m:t>4.83</m:t>
              </m:r>
              <m:r>
                <m:rPr>
                  <m:sty m:val="p"/>
                </m:rPr>
                <m:t>–</m:t>
              </m:r>
            </m:oMath>
            <w:r>
              <w:t xml:space="preserve">4.93</w:t>
            </w:r>
          </w:p>
        </w:tc>
      </w:tr>
      <w:tr>
        <w:tc>
          <w:tcPr/>
          <w:p>
            <w:pPr>
              <w:pStyle w:val="Compact"/>
            </w:pPr>
            <w:r>
              <w:t xml:space="preserve">Net income from continuing operations</w:t>
            </w:r>
          </w:p>
        </w:tc>
        <w:tc>
          <w:tcPr/>
          <w:p>
            <w:pPr>
              <w:pStyle w:val="Compact"/>
              <w:jc w:val="right"/>
            </w:pPr>
            <m:oMath>
              <m:r>
                <m:t>635</m:t>
              </m:r>
              <m:r>
                <m:t>M</m:t>
              </m:r>
              <m:r>
                <m:rPr>
                  <m:sty m:val="p"/>
                </m:rPr>
                <m:t>–</m:t>
              </m:r>
            </m:oMath>
            <w:r>
              <w:rPr>
                <w:b/>
                <w:bCs/>
              </w:rPr>
              <w:t xml:space="preserve">670M</w:t>
            </w:r>
          </w:p>
        </w:tc>
        <w:tc>
          <w:tcPr/>
          <w:p>
            <w:pPr>
              <w:pStyle w:val="Compact"/>
              <w:jc w:val="right"/>
            </w:pPr>
            <w:r>
              <w:t xml:space="preserve">—</w:t>
            </w:r>
          </w:p>
        </w:tc>
      </w:tr>
      <w:tr>
        <w:tc>
          <w:tcPr/>
          <w:p>
            <w:pPr>
              <w:pStyle w:val="Compact"/>
            </w:pPr>
            <w:r>
              <w:t xml:space="preserve">EBITDA</w:t>
            </w:r>
          </w:p>
        </w:tc>
        <w:tc>
          <w:tcPr/>
          <w:p>
            <w:pPr>
              <w:pStyle w:val="Compact"/>
              <w:jc w:val="right"/>
            </w:pPr>
            <w:r>
              <w:t xml:space="preserve">Approximately</w:t>
            </w:r>
            <w:r>
              <w:t xml:space="preserve"> </w:t>
            </w:r>
            <w:r>
              <w:rPr>
                <w:b/>
                <w:bCs/>
              </w:rPr>
              <w:t xml:space="preserve">$1.05B</w:t>
            </w:r>
          </w:p>
        </w:tc>
        <w:tc>
          <w:tcPr/>
          <w:p>
            <w:pPr>
              <w:pStyle w:val="Compact"/>
              <w:jc w:val="right"/>
            </w:pPr>
            <w:r>
              <w:t xml:space="preserve">—</w:t>
            </w:r>
          </w:p>
        </w:tc>
      </w:tr>
    </w:tbl>
    <w:p>
      <w:pPr>
        <w:pStyle w:val="BodyText"/>
      </w:pPr>
      <w:r>
        <w:t xml:space="preserve">For the full year, Pentair estimates Pool destocking will reduce sales by approximately</w:t>
      </w:r>
      <w:r>
        <w:t xml:space="preserve"> </w:t>
      </w:r>
      <m:oMath>
        <m:r>
          <m:t>250</m:t>
        </m:r>
        <m:r>
          <m:t>m</m:t>
        </m:r>
        <m:r>
          <m:t>i</m:t>
        </m:r>
        <m:r>
          <m:t>l</m:t>
        </m:r>
        <m:r>
          <m:t>l</m:t>
        </m:r>
        <m:r>
          <m:t>i</m:t>
        </m:r>
        <m:r>
          <m:t>o</m:t>
        </m:r>
        <m:r>
          <m:t>n</m:t>
        </m:r>
        <m:r>
          <m:rPr>
            <m:sty m:val="p"/>
          </m:rPr>
          <m:t>*</m:t>
        </m:r>
        <m:r>
          <m:rPr>
            <m:sty m:val="p"/>
          </m:rPr>
          <m:t>*</m:t>
        </m:r>
        <m:r>
          <m:t>a</m:t>
        </m:r>
        <m:r>
          <m:t>n</m:t>
        </m:r>
        <m:r>
          <m:t>d</m:t>
        </m:r>
        <m:r>
          <m:t>s</m:t>
        </m:r>
        <m:r>
          <m:t>e</m:t>
        </m:r>
        <m:r>
          <m:t>g</m:t>
        </m:r>
        <m:r>
          <m:t>m</m:t>
        </m:r>
        <m:r>
          <m:t>e</m:t>
        </m:r>
        <m:r>
          <m:t>n</m:t>
        </m:r>
        <m:r>
          <m:t>t</m:t>
        </m:r>
        <m:r>
          <m:t>i</m:t>
        </m:r>
        <m:r>
          <m:t>n</m:t>
        </m:r>
        <m:r>
          <m:t>c</m:t>
        </m:r>
        <m:r>
          <m:t>o</m:t>
        </m:r>
        <m:r>
          <m:t>m</m:t>
        </m:r>
        <m:r>
          <m:t>e</m:t>
        </m:r>
        <m:r>
          <m:t>b</m:t>
        </m:r>
        <m:r>
          <m:t>y</m:t>
        </m:r>
        <m:r>
          <m:t>a</m:t>
        </m:r>
        <m:r>
          <m:t>p</m:t>
        </m:r>
        <m:r>
          <m:t>p</m:t>
        </m:r>
        <m:r>
          <m:t>r</m:t>
        </m:r>
        <m:r>
          <m:t>o</m:t>
        </m:r>
        <m:r>
          <m:t>x</m:t>
        </m:r>
        <m:r>
          <m:t>i</m:t>
        </m:r>
        <m:r>
          <m:t>m</m:t>
        </m:r>
        <m:r>
          <m:t>a</m:t>
        </m:r>
        <m:r>
          <m:t>t</m:t>
        </m:r>
        <m:r>
          <m:t>e</m:t>
        </m:r>
        <m:r>
          <m:t>l</m:t>
        </m:r>
        <m:r>
          <m:t>y</m:t>
        </m:r>
        <m:r>
          <m:rPr>
            <m:sty m:val="p"/>
          </m:rPr>
          <m:t>*</m:t>
        </m:r>
        <m:r>
          <m:rPr>
            <m:sty m:val="p"/>
          </m:rPr>
          <m:t>*</m:t>
        </m:r>
      </m:oMath>
      <w:r>
        <w:rPr>
          <w:b/>
          <w:bCs/>
        </w:rPr>
        <w:t xml:space="preserve">155 million</w:t>
      </w:r>
      <w:r>
        <w:t xml:space="preserve">. Because $170 million of the sales effect and $105 million of the income effect occurred in Q2, the guidance appears to assume another roughly:</w:t>
      </w:r>
    </w:p>
    <w:p>
      <w:pPr>
        <w:pStyle w:val="Compact"/>
        <w:numPr>
          <w:ilvl w:val="0"/>
          <w:numId w:val="1003"/>
        </w:numPr>
      </w:pPr>
      <w:r>
        <w:rPr>
          <w:b/>
          <w:bCs/>
        </w:rPr>
        <w:t xml:space="preserve">$80 million of sales pressure</w:t>
      </w:r>
    </w:p>
    <w:p>
      <w:pPr>
        <w:pStyle w:val="Compact"/>
        <w:numPr>
          <w:ilvl w:val="0"/>
          <w:numId w:val="1003"/>
        </w:numPr>
      </w:pPr>
      <w:r>
        <w:rPr>
          <w:b/>
          <w:bCs/>
        </w:rPr>
        <w:t xml:space="preserve">$50 million of segment-income pressure</w:t>
      </w:r>
    </w:p>
    <w:p>
      <w:pPr>
        <w:pStyle w:val="FirstParagraph"/>
      </w:pPr>
      <w:r>
        <w:t xml:space="preserve">during the second half.</w:t>
      </w:r>
    </w:p>
    <w:p>
      <w:pPr>
        <w:pStyle w:val="BodyText"/>
      </w:pPr>
      <w:r>
        <w:t xml:space="preserve">The company expects</w:t>
      </w:r>
      <w:r>
        <w:t xml:space="preserve"> </w:t>
      </w:r>
      <w:r>
        <w:rPr>
          <w:b/>
          <w:bCs/>
        </w:rPr>
        <w:t xml:space="preserve">$35 million to</w:t>
      </w:r>
      <w:r>
        <w:rPr>
          <w:b/>
          <w:bCs/>
        </w:rPr>
        <w:t xml:space="preserve"> </w:t>
      </w:r>
      <m:oMath>
        <m:r>
          <m:t>50</m:t>
        </m:r>
        <m:r>
          <m:t>m</m:t>
        </m:r>
        <m:r>
          <m:t>i</m:t>
        </m:r>
        <m:r>
          <m:t>l</m:t>
        </m:r>
        <m:r>
          <m:t>l</m:t>
        </m:r>
        <m:r>
          <m:t>i</m:t>
        </m:r>
        <m:r>
          <m:t>o</m:t>
        </m:r>
        <m:r>
          <m:t>n</m:t>
        </m:r>
        <m:r>
          <m:t>o</m:t>
        </m:r>
        <m:r>
          <m:t>f</m:t>
        </m:r>
        <m:r>
          <m:t>I</m:t>
        </m:r>
        <m:r>
          <m:t>E</m:t>
        </m:r>
        <m:r>
          <m:t>E</m:t>
        </m:r>
        <m:r>
          <m:t>P</m:t>
        </m:r>
        <m:r>
          <m:t>A</m:t>
        </m:r>
        <m:r>
          <m:t>r</m:t>
        </m:r>
        <m:r>
          <m:t>e</m:t>
        </m:r>
        <m:r>
          <m:t>f</m:t>
        </m:r>
        <m:r>
          <m:t>u</m:t>
        </m:r>
        <m:r>
          <m:t>n</m:t>
        </m:r>
        <m:r>
          <m:t>d</m:t>
        </m:r>
        <m:r>
          <m:t>s</m:t>
        </m:r>
        <m:r>
          <m:rPr>
            <m:sty m:val="p"/>
          </m:rPr>
          <m:t>*</m:t>
        </m:r>
        <m:r>
          <m:rPr>
            <m:sty m:val="p"/>
          </m:rPr>
          <m:t>*</m:t>
        </m:r>
        <m:r>
          <m:t>i</m:t>
        </m:r>
        <m:r>
          <m:t>n</m:t>
        </m:r>
        <m:r>
          <m:t>t</m:t>
        </m:r>
        <m:r>
          <m:t>h</m:t>
        </m:r>
        <m:r>
          <m:t>e</m:t>
        </m:r>
        <m:r>
          <m:t>f</m:t>
        </m:r>
        <m:r>
          <m:t>u</m:t>
        </m:r>
        <m:r>
          <m:t>l</m:t>
        </m:r>
        <m:r>
          <m:t>l</m:t>
        </m:r>
        <m:r>
          <m:rPr>
            <m:sty m:val="p"/>
          </m:rPr>
          <m:t>−</m:t>
        </m:r>
        <m:r>
          <m:t>y</m:t>
        </m:r>
        <m:r>
          <m:t>e</m:t>
        </m:r>
        <m:r>
          <m:t>a</m:t>
        </m:r>
        <m:r>
          <m:t>r</m:t>
        </m:r>
        <m:r>
          <m:t>r</m:t>
        </m:r>
        <m:r>
          <m:t>e</m:t>
        </m:r>
        <m:r>
          <m:t>s</m:t>
        </m:r>
        <m:r>
          <m:t>u</m:t>
        </m:r>
        <m:r>
          <m:t>l</m:t>
        </m:r>
        <m:r>
          <m:t>t</m:t>
        </m:r>
        <m:r>
          <m:t>s</m:t>
        </m:r>
        <m:r>
          <m:rPr>
            <m:sty m:val="p"/>
          </m:rPr>
          <m:t>.</m:t>
        </m:r>
        <m:r>
          <m:t>O</m:t>
        </m:r>
        <m:r>
          <m:t>n</m:t>
        </m:r>
        <m:r>
          <m:t>a</m:t>
        </m:r>
        <m:r>
          <m:t>s</m:t>
        </m:r>
        <m:r>
          <m:t>i</m:t>
        </m:r>
        <m:r>
          <m:t>m</m:t>
        </m:r>
        <m:r>
          <m:t>p</m:t>
        </m:r>
        <m:r>
          <m:t>l</m:t>
        </m:r>
        <m:r>
          <m:t>e</m:t>
        </m:r>
        <m:r>
          <m:t>a</m:t>
        </m:r>
        <m:r>
          <m:t>f</m:t>
        </m:r>
        <m:r>
          <m:t>t</m:t>
        </m:r>
        <m:r>
          <m:t>e</m:t>
        </m:r>
        <m:r>
          <m:t>r</m:t>
        </m:r>
        <m:r>
          <m:rPr>
            <m:sty m:val="p"/>
          </m:rPr>
          <m:t>−</m:t>
        </m:r>
        <m:r>
          <m:t>t</m:t>
        </m:r>
        <m:r>
          <m:t>a</m:t>
        </m:r>
        <m:r>
          <m:t>x</m:t>
        </m:r>
        <m:r>
          <m:t>b</m:t>
        </m:r>
        <m:r>
          <m:t>a</m:t>
        </m:r>
        <m:r>
          <m:t>s</m:t>
        </m:r>
        <m:r>
          <m:t>i</m:t>
        </m:r>
        <m:r>
          <m:t>s</m:t>
        </m:r>
        <m:r>
          <m:rPr>
            <m:sty m:val="p"/>
          </m:rPr>
          <m:t>,</m:t>
        </m:r>
        <m:r>
          <m:t>t</m:t>
        </m:r>
        <m:r>
          <m:t>h</m:t>
        </m:r>
        <m:r>
          <m:t>a</m:t>
        </m:r>
        <m:r>
          <m:t>t</m:t>
        </m:r>
        <m:r>
          <m:t>c</m:t>
        </m:r>
        <m:r>
          <m:t>o</m:t>
        </m:r>
        <m:r>
          <m:t>u</m:t>
        </m:r>
        <m:r>
          <m:t>l</m:t>
        </m:r>
        <m:r>
          <m:t>d</m:t>
        </m:r>
        <m:r>
          <m:t>r</m:t>
        </m:r>
        <m:r>
          <m:t>e</m:t>
        </m:r>
        <m:r>
          <m:t>p</m:t>
        </m:r>
        <m:r>
          <m:t>r</m:t>
        </m:r>
        <m:r>
          <m:t>e</m:t>
        </m:r>
        <m:r>
          <m:t>s</m:t>
        </m:r>
        <m:r>
          <m:t>e</m:t>
        </m:r>
        <m:r>
          <m:t>n</m:t>
        </m:r>
        <m:r>
          <m:t>t</m:t>
        </m:r>
        <m:r>
          <m:t>r</m:t>
        </m:r>
        <m:r>
          <m:t>o</m:t>
        </m:r>
        <m:r>
          <m:t>u</m:t>
        </m:r>
        <m:r>
          <m:t>g</m:t>
        </m:r>
        <m:r>
          <m:t>h</m:t>
        </m:r>
        <m:r>
          <m:t>l</m:t>
        </m:r>
        <m:r>
          <m:t>y</m:t>
        </m:r>
        <m:r>
          <m:rPr>
            <m:sty m:val="p"/>
          </m:rPr>
          <m:t>*</m:t>
        </m:r>
        <m:r>
          <m:rPr>
            <m:sty m:val="p"/>
          </m:rPr>
          <m:t>*</m:t>
        </m:r>
      </m:oMath>
      <w:r>
        <w:rPr>
          <w:b/>
          <w:bCs/>
        </w:rPr>
        <w:t xml:space="preserve">0.19–$0.27 per share</w:t>
      </w:r>
      <w:r>
        <w:t xml:space="preserve"> </w:t>
      </w:r>
      <w:r>
        <w:t xml:space="preserve">of 2026 earnings. Investors should therefore distinguish the</w:t>
      </w:r>
      <w:r>
        <w:t xml:space="preserve"> </w:t>
      </w:r>
      <m:oMath>
        <m:r>
          <m:t>4.60</m:t>
        </m:r>
        <m:r>
          <m:rPr>
            <m:sty m:val="p"/>
          </m:rPr>
          <m:t>–</m:t>
        </m:r>
      </m:oMath>
      <w:r>
        <w:t xml:space="preserve">4.80 headline range from the company’s recurring earnings power.</w:t>
      </w:r>
    </w:p>
    <w:p>
      <w:r>
        <w:pict>
          <v:rect style="width:0;height:1.5pt" o:hralign="center" o:hrstd="t" o:hr="t"/>
        </w:pict>
      </w:r>
    </w:p>
    <w:bookmarkEnd w:id="11"/>
    <w:bookmarkEnd w:id="12"/>
    <w:bookmarkStart w:id="15" w:name="X14b3e6afd1a0fa690fabd7163e9efd43d4ef3c1"/>
    <w:p>
      <w:pPr>
        <w:pStyle w:val="Heading2"/>
      </w:pPr>
      <w:r>
        <w:t xml:space="preserve">The central issue: Pool inventory versus Pool demand</w:t>
      </w:r>
    </w:p>
    <w:p>
      <w:pPr>
        <w:pStyle w:val="FirstParagraph"/>
      </w:pPr>
      <w:r>
        <w:t xml:space="preserve">Pentair entered 2026 already aware that distributor sell-in had exceeded end-market sell-through. On the Q1 call, management explicitly expected Pool channel partners to reduce purchases in Q2 and Q3.</w:t>
      </w:r>
    </w:p>
    <w:p>
      <w:pPr>
        <w:pStyle w:val="BodyText"/>
      </w:pPr>
      <w:r>
        <w:t xml:space="preserve">The surprise is the magnitude.</w:t>
      </w:r>
    </w:p>
    <w:p>
      <w:pPr>
        <w:pStyle w:val="BodyText"/>
      </w:pPr>
      <w:r>
        <w:t xml:space="preserve">Management had guided Pool sales to approximately flat to up 1% in Q2. Instead, companywide sales fell 17%, principally because Pool channel inventory was much higher than expected. This creates two separate questions:</w:t>
      </w:r>
    </w:p>
    <w:bookmarkStart w:id="13" w:name="X1974bb8a6394bf658e378832f45d2ec33d7b3f5"/>
    <w:p>
      <w:pPr>
        <w:pStyle w:val="Heading3"/>
      </w:pPr>
      <w:r>
        <w:t xml:space="preserve">1. Is this mainly a timing problem?</w:t>
      </w:r>
    </w:p>
    <w:p>
      <w:pPr>
        <w:pStyle w:val="FirstParagraph"/>
      </w:pPr>
      <w:r>
        <w:t xml:space="preserve">The constructive interpretation is that distributors are rapidly reducing inventory in 2026, clearing the way for sell-in to reconnect with sell-through for the 2027 Pool season. If so, Pentair could experience substantial growth next year even without a major end-market recovery.</w:t>
      </w:r>
    </w:p>
    <w:p>
      <w:pPr>
        <w:pStyle w:val="BodyText"/>
      </w:pPr>
      <w:r>
        <w:t xml:space="preserve">Evidence supporting that view includes:</w:t>
      </w:r>
    </w:p>
    <w:p>
      <w:pPr>
        <w:pStyle w:val="Compact"/>
        <w:numPr>
          <w:ilvl w:val="0"/>
          <w:numId w:val="1004"/>
        </w:numPr>
      </w:pPr>
      <w:r>
        <w:t xml:space="preserve">Approximately 80% of Pool revenue is tied to the installed base rather than new construction.</w:t>
      </w:r>
    </w:p>
    <w:p>
      <w:pPr>
        <w:pStyle w:val="Compact"/>
        <w:numPr>
          <w:ilvl w:val="0"/>
          <w:numId w:val="1004"/>
        </w:numPr>
      </w:pPr>
      <w:r>
        <w:t xml:space="preserve">Pool equipment eventually requires repair and replacement.</w:t>
      </w:r>
    </w:p>
    <w:p>
      <w:pPr>
        <w:pStyle w:val="Compact"/>
        <w:numPr>
          <w:ilvl w:val="0"/>
          <w:numId w:val="1004"/>
        </w:numPr>
      </w:pPr>
      <w:r>
        <w:t xml:space="preserve">Pentair retains a large installed base, dealer network and strong positions in pumps, automation and connected equipment.</w:t>
      </w:r>
    </w:p>
    <w:p>
      <w:pPr>
        <w:pStyle w:val="Compact"/>
        <w:numPr>
          <w:ilvl w:val="0"/>
          <w:numId w:val="1004"/>
        </w:numPr>
      </w:pPr>
      <w:r>
        <w:t xml:space="preserve">Management is deliberately preparing channel inventory for the 2027 season.</w:t>
      </w:r>
    </w:p>
    <w:bookmarkEnd w:id="13"/>
    <w:bookmarkStart w:id="14" w:name="X69f34d48f6e61b6861b49c6add9d8e68336e4ad"/>
    <w:p>
      <w:pPr>
        <w:pStyle w:val="Heading3"/>
      </w:pPr>
      <w:r>
        <w:t xml:space="preserve">2. Or is underlying demand weaker than previously understood?</w:t>
      </w:r>
    </w:p>
    <w:p>
      <w:pPr>
        <w:pStyle w:val="FirstParagraph"/>
      </w:pPr>
      <w:r>
        <w:t xml:space="preserve">The less favorable interpretation is that the inventory correction reflects more than timing. Pentair cited:</w:t>
      </w:r>
    </w:p>
    <w:p>
      <w:pPr>
        <w:pStyle w:val="Compact"/>
        <w:numPr>
          <w:ilvl w:val="0"/>
          <w:numId w:val="1005"/>
        </w:numPr>
      </w:pPr>
      <w:r>
        <w:t xml:space="preserve">Higher interest rates</w:t>
      </w:r>
    </w:p>
    <w:p>
      <w:pPr>
        <w:pStyle w:val="Compact"/>
        <w:numPr>
          <w:ilvl w:val="0"/>
          <w:numId w:val="1005"/>
        </w:numPr>
      </w:pPr>
      <w:r>
        <w:t xml:space="preserve">Inflation and consumer affordability</w:t>
      </w:r>
    </w:p>
    <w:p>
      <w:pPr>
        <w:pStyle w:val="Compact"/>
        <w:numPr>
          <w:ilvl w:val="0"/>
          <w:numId w:val="1005"/>
        </w:numPr>
      </w:pPr>
      <w:r>
        <w:t xml:space="preserve">Reduced remodeling activity</w:t>
      </w:r>
    </w:p>
    <w:p>
      <w:pPr>
        <w:pStyle w:val="Compact"/>
        <w:numPr>
          <w:ilvl w:val="0"/>
          <w:numId w:val="1005"/>
        </w:numPr>
      </w:pPr>
      <w:r>
        <w:t xml:space="preserve">Customers choosing basic repairs rather than equipment upgrades</w:t>
      </w:r>
    </w:p>
    <w:p>
      <w:pPr>
        <w:pStyle w:val="Compact"/>
        <w:numPr>
          <w:ilvl w:val="0"/>
          <w:numId w:val="1005"/>
        </w:numPr>
      </w:pPr>
      <w:r>
        <w:t xml:space="preserve">“Defeaturing” toward lower-cost products</w:t>
      </w:r>
    </w:p>
    <w:p>
      <w:pPr>
        <w:pStyle w:val="Compact"/>
        <w:numPr>
          <w:ilvl w:val="0"/>
          <w:numId w:val="1005"/>
        </w:numPr>
      </w:pPr>
      <w:r>
        <w:t xml:space="preserve">Worsening business conditions</w:t>
      </w:r>
    </w:p>
    <w:p>
      <w:pPr>
        <w:pStyle w:val="FirstParagraph"/>
      </w:pPr>
      <w:r>
        <w:t xml:space="preserve">That suggests Pool demand may have both a</w:t>
      </w:r>
      <w:r>
        <w:t xml:space="preserve"> </w:t>
      </w:r>
      <w:r>
        <w:rPr>
          <w:b/>
          <w:bCs/>
        </w:rPr>
        <w:t xml:space="preserve">channel inventory problem and an end-market mix problem</w:t>
      </w:r>
      <w:r>
        <w:t xml:space="preserve">. If consumers continue postponing upgrades, Pentair’s premium equipment, automation and connected-product strategy may take longer to produce growth.</w:t>
      </w:r>
    </w:p>
    <w:p>
      <w:pPr>
        <w:pStyle w:val="BodyText"/>
      </w:pPr>
      <w:r>
        <w:t xml:space="preserve">The call needs to separate these effects clearly.</w:t>
      </w:r>
    </w:p>
    <w:p>
      <w:r>
        <w:pict>
          <v:rect style="width:0;height:1.5pt" o:hralign="center" o:hrstd="t" o:hr="t"/>
        </w:pict>
      </w:r>
    </w:p>
    <w:bookmarkEnd w:id="14"/>
    <w:bookmarkEnd w:id="15"/>
    <w:bookmarkStart w:id="22" w:name="what-investors-should-listen-for"/>
    <w:p>
      <w:pPr>
        <w:pStyle w:val="Heading2"/>
      </w:pPr>
      <w:r>
        <w:t xml:space="preserve">What investors should listen for</w:t>
      </w:r>
    </w:p>
    <w:bookmarkStart w:id="16" w:name="X1f4e19605ce21a55f886ad4c00e2d53cd00fbdc"/>
    <w:p>
      <w:pPr>
        <w:pStyle w:val="Heading3"/>
      </w:pPr>
      <w:r>
        <w:t xml:space="preserve">1. A precise channel-inventory bridge</w:t>
      </w:r>
    </w:p>
    <w:p>
      <w:pPr>
        <w:pStyle w:val="FirstParagraph"/>
      </w:pPr>
      <w:r>
        <w:t xml:space="preserve">Management should quantify:</w:t>
      </w:r>
    </w:p>
    <w:p>
      <w:pPr>
        <w:pStyle w:val="Compact"/>
        <w:numPr>
          <w:ilvl w:val="0"/>
          <w:numId w:val="1006"/>
        </w:numPr>
      </w:pPr>
      <w:r>
        <w:t xml:space="preserve">Current inventory levels by major channel</w:t>
      </w:r>
    </w:p>
    <w:p>
      <w:pPr>
        <w:pStyle w:val="Compact"/>
        <w:numPr>
          <w:ilvl w:val="0"/>
          <w:numId w:val="1006"/>
        </w:numPr>
      </w:pPr>
      <w:r>
        <w:t xml:space="preserve">Inventory in dollars, units or weeks of supply</w:t>
      </w:r>
    </w:p>
    <w:p>
      <w:pPr>
        <w:pStyle w:val="Compact"/>
        <w:numPr>
          <w:ilvl w:val="0"/>
          <w:numId w:val="1006"/>
        </w:numPr>
      </w:pPr>
      <w:r>
        <w:t xml:space="preserve">Sell-in versus sell-through during Q2</w:t>
      </w:r>
    </w:p>
    <w:p>
      <w:pPr>
        <w:pStyle w:val="Compact"/>
        <w:numPr>
          <w:ilvl w:val="0"/>
          <w:numId w:val="1006"/>
        </w:numPr>
      </w:pPr>
      <w:r>
        <w:t xml:space="preserve">Expected Q3 and Q4 destocking</w:t>
      </w:r>
    </w:p>
    <w:p>
      <w:pPr>
        <w:pStyle w:val="Compact"/>
        <w:numPr>
          <w:ilvl w:val="0"/>
          <w:numId w:val="1006"/>
        </w:numPr>
      </w:pPr>
      <w:r>
        <w:t xml:space="preserve">When inventory should reach normalized levels</w:t>
      </w:r>
    </w:p>
    <w:p>
      <w:pPr>
        <w:pStyle w:val="Compact"/>
        <w:numPr>
          <w:ilvl w:val="0"/>
          <w:numId w:val="1006"/>
        </w:numPr>
      </w:pPr>
      <w:r>
        <w:t xml:space="preserve">Whether the $250 million full-year impact represents a full reset</w:t>
      </w:r>
    </w:p>
    <w:p>
      <w:pPr>
        <w:pStyle w:val="FirstParagraph"/>
      </w:pPr>
      <w:r>
        <w:t xml:space="preserve">The most important statement would be that the company has completed a customer-by-customer review and that the new forecast reflects actual distributor purchasing plans—not another high-level estimate.</w:t>
      </w:r>
    </w:p>
    <w:p>
      <w:pPr>
        <w:pStyle w:val="BodyText"/>
      </w:pPr>
      <w:r>
        <w:t xml:space="preserve">Any indication that destocking could extend materially into 2027 would be negative.</w:t>
      </w:r>
    </w:p>
    <w:bookmarkEnd w:id="16"/>
    <w:bookmarkStart w:id="17" w:name="Xb0955b10ee9bba25271885e15ef3eed6fcfadc6"/>
    <w:p>
      <w:pPr>
        <w:pStyle w:val="Heading3"/>
      </w:pPr>
      <w:r>
        <w:t xml:space="preserve">2. The 2027 earnings framework</w:t>
      </w:r>
    </w:p>
    <w:p>
      <w:pPr>
        <w:pStyle w:val="FirstParagraph"/>
      </w:pPr>
      <w:r>
        <w:t xml:space="preserve">The preannouncement says Pentair expects to position itself for “significant growth” in 2027. Investors need more detail.</w:t>
      </w:r>
    </w:p>
    <w:p>
      <w:pPr>
        <w:pStyle w:val="BodyText"/>
      </w:pPr>
      <w:r>
        <w:t xml:space="preserve">Key questions include:</w:t>
      </w:r>
    </w:p>
    <w:p>
      <w:pPr>
        <w:pStyle w:val="Compact"/>
        <w:numPr>
          <w:ilvl w:val="0"/>
          <w:numId w:val="1007"/>
        </w:numPr>
      </w:pPr>
      <w:r>
        <w:t xml:space="preserve">How much of the expected growth is simply easier sell-in comparisons?</w:t>
      </w:r>
    </w:p>
    <w:p>
      <w:pPr>
        <w:pStyle w:val="Compact"/>
        <w:numPr>
          <w:ilvl w:val="0"/>
          <w:numId w:val="1007"/>
        </w:numPr>
      </w:pPr>
      <w:r>
        <w:t xml:space="preserve">What Pool sell-through assumption supports the forecast?</w:t>
      </w:r>
    </w:p>
    <w:p>
      <w:pPr>
        <w:pStyle w:val="Compact"/>
        <w:numPr>
          <w:ilvl w:val="0"/>
          <w:numId w:val="1007"/>
        </w:numPr>
      </w:pPr>
      <w:r>
        <w:t xml:space="preserve">Will 2027 start with normalized channel inventory?</w:t>
      </w:r>
    </w:p>
    <w:p>
      <w:pPr>
        <w:pStyle w:val="Compact"/>
        <w:numPr>
          <w:ilvl w:val="0"/>
          <w:numId w:val="1007"/>
        </w:numPr>
      </w:pPr>
      <w:r>
        <w:t xml:space="preserve">What decremental costs can be recovered as volume returns?</w:t>
      </w:r>
    </w:p>
    <w:p>
      <w:pPr>
        <w:pStyle w:val="Compact"/>
        <w:numPr>
          <w:ilvl w:val="0"/>
          <w:numId w:val="1007"/>
        </w:numPr>
      </w:pPr>
      <w:r>
        <w:t xml:space="preserve">Does management expect Pool margins to return toward historical levels?</w:t>
      </w:r>
    </w:p>
    <w:p>
      <w:pPr>
        <w:pStyle w:val="FirstParagraph"/>
      </w:pPr>
      <w:r>
        <w:t xml:space="preserve">Because Pool’s Q2 decremental margin was approximately 62%, even a partial reversal could create powerful earnings leverage. But that only helps if the revenue truly returns rather than representing structurally lost demand or share.</w:t>
      </w:r>
    </w:p>
    <w:bookmarkEnd w:id="17"/>
    <w:bookmarkStart w:id="18" w:name="X6bc809532507437c18d54b13d56450a4fc65ee9"/>
    <w:p>
      <w:pPr>
        <w:pStyle w:val="Heading3"/>
      </w:pPr>
      <w:r>
        <w:t xml:space="preserve">3. Flow and Water Solutions stability</w:t>
      </w:r>
    </w:p>
    <w:p>
      <w:pPr>
        <w:pStyle w:val="FirstParagraph"/>
      </w:pPr>
      <w:r>
        <w:t xml:space="preserve">Pentair said Flow, Water Solutions and corporate spending remain roughly in line with prior expectations for both Q2 and the full year. Confirmation would demonstrate that the warning is concentrated in Pool rather than evidence of a companywide deterioration.</w:t>
      </w:r>
    </w:p>
    <w:p>
      <w:pPr>
        <w:pStyle w:val="BodyText"/>
      </w:pPr>
      <w:r>
        <w:t xml:space="preserve">In Q1:</w:t>
      </w:r>
    </w:p>
    <w:p>
      <w:pPr>
        <w:pStyle w:val="Compact"/>
        <w:numPr>
          <w:ilvl w:val="0"/>
          <w:numId w:val="1008"/>
        </w:numPr>
      </w:pPr>
      <w:r>
        <w:rPr>
          <w:b/>
          <w:bCs/>
        </w:rPr>
        <w:t xml:space="preserve">Flow sales rose 11%</w:t>
      </w:r>
      <w:r>
        <w:t xml:space="preserve"> </w:t>
      </w:r>
      <w:r>
        <w:t xml:space="preserve">and segment margin expanded 210 basis points to 23.7%.</w:t>
      </w:r>
    </w:p>
    <w:p>
      <w:pPr>
        <w:pStyle w:val="Compact"/>
        <w:numPr>
          <w:ilvl w:val="0"/>
          <w:numId w:val="1008"/>
        </w:numPr>
      </w:pPr>
      <w:r>
        <w:rPr>
          <w:b/>
          <w:bCs/>
        </w:rPr>
        <w:t xml:space="preserve">Water Solutions sales declined 1%</w:t>
      </w:r>
      <w:r>
        <w:t xml:space="preserve">, but segment margin expanded 160 basis points to 25.5%.</w:t>
      </w:r>
    </w:p>
    <w:p>
      <w:pPr>
        <w:pStyle w:val="Compact"/>
        <w:numPr>
          <w:ilvl w:val="0"/>
          <w:numId w:val="1008"/>
        </w:numPr>
      </w:pPr>
      <w:r>
        <w:t xml:space="preserve">Both segments benefited from pricing, productivity and Pentair Business System initiatives.</w:t>
      </w:r>
    </w:p>
    <w:p>
      <w:pPr>
        <w:pStyle w:val="FirstParagraph"/>
      </w:pPr>
      <w:r>
        <w:t xml:space="preserve">Investors should focus on:</w:t>
      </w:r>
    </w:p>
    <w:p>
      <w:pPr>
        <w:pStyle w:val="Compact"/>
        <w:numPr>
          <w:ilvl w:val="0"/>
          <w:numId w:val="1009"/>
        </w:numPr>
      </w:pPr>
      <w:r>
        <w:t xml:space="preserve">Hydra-Stop performance and integration</w:t>
      </w:r>
    </w:p>
    <w:p>
      <w:pPr>
        <w:pStyle w:val="Compact"/>
        <w:numPr>
          <w:ilvl w:val="0"/>
          <w:numId w:val="1009"/>
        </w:numPr>
      </w:pPr>
      <w:r>
        <w:t xml:space="preserve">Commercial-building and municipal demand</w:t>
      </w:r>
    </w:p>
    <w:p>
      <w:pPr>
        <w:pStyle w:val="Compact"/>
        <w:numPr>
          <w:ilvl w:val="0"/>
          <w:numId w:val="1009"/>
        </w:numPr>
      </w:pPr>
      <w:r>
        <w:t xml:space="preserve">Data-center-related pump opportunities</w:t>
      </w:r>
    </w:p>
    <w:p>
      <w:pPr>
        <w:pStyle w:val="Compact"/>
        <w:numPr>
          <w:ilvl w:val="0"/>
          <w:numId w:val="1009"/>
        </w:numPr>
      </w:pPr>
      <w:r>
        <w:t xml:space="preserve">Commercial Water growth, including Manitowoc Ice and Everpure</w:t>
      </w:r>
    </w:p>
    <w:p>
      <w:pPr>
        <w:pStyle w:val="Compact"/>
        <w:numPr>
          <w:ilvl w:val="0"/>
          <w:numId w:val="1009"/>
        </w:numPr>
      </w:pPr>
      <w:r>
        <w:t xml:space="preserve">Whether pricing continues to offset inflation and tariffs</w:t>
      </w:r>
    </w:p>
    <w:p>
      <w:pPr>
        <w:pStyle w:val="Compact"/>
        <w:numPr>
          <w:ilvl w:val="0"/>
          <w:numId w:val="1009"/>
        </w:numPr>
      </w:pPr>
      <w:r>
        <w:t xml:space="preserve">Whether the planned $70 million of net productivity remains achievable despite lower volume</w:t>
      </w:r>
    </w:p>
    <w:p>
      <w:pPr>
        <w:pStyle w:val="FirstParagraph"/>
      </w:pPr>
      <w:r>
        <w:t xml:space="preserve">Continued strength here would support the argument that Pentair’s diversified portfolio is working as intended.</w:t>
      </w:r>
    </w:p>
    <w:bookmarkEnd w:id="18"/>
    <w:bookmarkStart w:id="19" w:name="Xfe819d057f2978f08a3044bedc76a7fbac6c0cc"/>
    <w:p>
      <w:pPr>
        <w:pStyle w:val="Heading3"/>
      </w:pPr>
      <w:r>
        <w:t xml:space="preserve">4. The quality of 2026 earnings</w:t>
      </w:r>
    </w:p>
    <w:p>
      <w:pPr>
        <w:pStyle w:val="FirstParagraph"/>
      </w:pPr>
      <w:r>
        <w:t xml:space="preserve">The IEEPA refunds create a meaningful earnings-quality issue. Investors should ask management to bridge:</w:t>
      </w:r>
    </w:p>
    <w:p>
      <w:pPr>
        <w:pStyle w:val="Compact"/>
        <w:numPr>
          <w:ilvl w:val="0"/>
          <w:numId w:val="1010"/>
        </w:numPr>
      </w:pPr>
      <w:r>
        <w:t xml:space="preserve">Reported adjusted operating income</w:t>
      </w:r>
    </w:p>
    <w:p>
      <w:pPr>
        <w:pStyle w:val="Compact"/>
        <w:numPr>
          <w:ilvl w:val="0"/>
          <w:numId w:val="1010"/>
        </w:numPr>
      </w:pPr>
      <w:r>
        <w:t xml:space="preserve">IEEPA refunds</w:t>
      </w:r>
    </w:p>
    <w:p>
      <w:pPr>
        <w:pStyle w:val="Compact"/>
        <w:numPr>
          <w:ilvl w:val="0"/>
          <w:numId w:val="1010"/>
        </w:numPr>
      </w:pPr>
      <w:r>
        <w:t xml:space="preserve">Transformation and restructuring benefits</w:t>
      </w:r>
    </w:p>
    <w:p>
      <w:pPr>
        <w:pStyle w:val="Compact"/>
        <w:numPr>
          <w:ilvl w:val="0"/>
          <w:numId w:val="1010"/>
        </w:numPr>
      </w:pPr>
      <w:r>
        <w:t xml:space="preserve">Price-cost performance</w:t>
      </w:r>
    </w:p>
    <w:p>
      <w:pPr>
        <w:pStyle w:val="Compact"/>
        <w:numPr>
          <w:ilvl w:val="0"/>
          <w:numId w:val="1010"/>
        </w:numPr>
      </w:pPr>
      <w:r>
        <w:t xml:space="preserve">Recurring productivity</w:t>
      </w:r>
    </w:p>
    <w:p>
      <w:pPr>
        <w:pStyle w:val="Compact"/>
        <w:numPr>
          <w:ilvl w:val="0"/>
          <w:numId w:val="1010"/>
        </w:numPr>
      </w:pPr>
      <w:r>
        <w:t xml:space="preserve">Temporary Pool under-absorption</w:t>
      </w:r>
    </w:p>
    <w:p>
      <w:pPr>
        <w:pStyle w:val="FirstParagraph"/>
      </w:pPr>
      <w:r>
        <w:t xml:space="preserve">A clean underlying bridge is important because Pentair’s investment case has recently emphasized structural margin improvement. Investors need to know how much of that structural improvement remains after removing refunds and allowing for lower Pool utilization.</w:t>
      </w:r>
    </w:p>
    <w:bookmarkEnd w:id="19"/>
    <w:bookmarkStart w:id="20" w:name="Xd278acb2de59f59ba21e2a7e843163fe8d9c3e8"/>
    <w:p>
      <w:pPr>
        <w:pStyle w:val="Heading3"/>
      </w:pPr>
      <w:r>
        <w:t xml:space="preserve">5. The status of the 2028 targets</w:t>
      </w:r>
    </w:p>
    <w:p>
      <w:pPr>
        <w:pStyle w:val="FirstParagraph"/>
      </w:pPr>
      <w:r>
        <w:t xml:space="preserve">At its March Investor Day, Pentair presented a 2028 framework that included approximately:</w:t>
      </w:r>
    </w:p>
    <w:p>
      <w:pPr>
        <w:pStyle w:val="Compact"/>
        <w:numPr>
          <w:ilvl w:val="0"/>
          <w:numId w:val="1011"/>
        </w:numPr>
      </w:pPr>
      <w:r>
        <w:rPr>
          <w:b/>
          <w:bCs/>
        </w:rPr>
        <w:t xml:space="preserve">$4.8 billion of revenue</w:t>
      </w:r>
    </w:p>
    <w:p>
      <w:pPr>
        <w:pStyle w:val="Compact"/>
        <w:numPr>
          <w:ilvl w:val="0"/>
          <w:numId w:val="1011"/>
        </w:numPr>
      </w:pPr>
      <w:r>
        <w:rPr>
          <w:b/>
          <w:bCs/>
        </w:rPr>
        <w:t xml:space="preserve">28% adjusted operating margin</w:t>
      </w:r>
    </w:p>
    <w:p>
      <w:pPr>
        <w:pStyle w:val="Compact"/>
        <w:numPr>
          <w:ilvl w:val="0"/>
          <w:numId w:val="1011"/>
        </w:numPr>
      </w:pPr>
      <w:r>
        <w:rPr>
          <w:b/>
          <w:bCs/>
        </w:rPr>
        <w:t xml:space="preserve">$1.4 billion of adjusted operating income</w:t>
      </w:r>
    </w:p>
    <w:p>
      <w:pPr>
        <w:pStyle w:val="Compact"/>
        <w:numPr>
          <w:ilvl w:val="0"/>
          <w:numId w:val="1011"/>
        </w:numPr>
      </w:pPr>
      <w:r>
        <w:t xml:space="preserve">Mid-single-digit revenue growth</w:t>
      </w:r>
    </w:p>
    <w:p>
      <w:pPr>
        <w:pStyle w:val="Compact"/>
        <w:numPr>
          <w:ilvl w:val="0"/>
          <w:numId w:val="1011"/>
        </w:numPr>
      </w:pPr>
      <w:r>
        <w:t xml:space="preserve">Low-double-digit EPS growth</w:t>
      </w:r>
    </w:p>
    <w:p>
      <w:pPr>
        <w:pStyle w:val="Compact"/>
        <w:numPr>
          <w:ilvl w:val="0"/>
          <w:numId w:val="1011"/>
        </w:numPr>
      </w:pPr>
      <w:r>
        <w:t xml:space="preserve">Approximately 100% free-cash-flow conversion</w:t>
      </w:r>
    </w:p>
    <w:p>
      <w:pPr>
        <w:pStyle w:val="FirstParagraph"/>
      </w:pPr>
      <w:r>
        <w:t xml:space="preserve">The new 2026 revenue guidance implies approximately</w:t>
      </w:r>
      <w:r>
        <w:t xml:space="preserve"> </w:t>
      </w:r>
      <w:r>
        <w:rPr>
          <w:b/>
          <w:bCs/>
        </w:rPr>
        <w:t xml:space="preserve">$3.88 billion to $4.01 billion</w:t>
      </w:r>
      <w:r>
        <w:t xml:space="preserve"> </w:t>
      </w:r>
      <w:r>
        <w:t xml:space="preserve">of sales. At the midpoint, Pentair would need roughly</w:t>
      </w:r>
      <w:r>
        <w:t xml:space="preserve"> </w:t>
      </w:r>
      <w:r>
        <w:rPr>
          <w:b/>
          <w:bCs/>
        </w:rPr>
        <w:t xml:space="preserve">10% annual revenue growth in both 2027 and 2028</w:t>
      </w:r>
      <w:r>
        <w:t xml:space="preserve"> </w:t>
      </w:r>
      <w:r>
        <w:t xml:space="preserve">to reach $4.8 billion.</w:t>
      </w:r>
    </w:p>
    <w:p>
      <w:pPr>
        <w:pStyle w:val="BodyText"/>
      </w:pPr>
      <w:r>
        <w:t xml:space="preserve">Similarly, from the midpoint of the revised 2026 adjusted operating-income outlook, Pentair would need approximately</w:t>
      </w:r>
      <w:r>
        <w:t xml:space="preserve"> </w:t>
      </w:r>
      <w:r>
        <w:rPr>
          <w:b/>
          <w:bCs/>
        </w:rPr>
        <w:t xml:space="preserve">20% annual operating-income growth</w:t>
      </w:r>
      <w:r>
        <w:t xml:space="preserve"> </w:t>
      </w:r>
      <w:r>
        <w:t xml:space="preserve">through 2028 to reach $1.4 billion.</w:t>
      </w:r>
    </w:p>
    <w:p>
      <w:pPr>
        <w:pStyle w:val="BodyText"/>
      </w:pPr>
      <w:r>
        <w:t xml:space="preserve">Those growth rates are well above the original base-case algorithm. Management will therefore need to do one of three things:</w:t>
      </w:r>
    </w:p>
    <w:p>
      <w:pPr>
        <w:pStyle w:val="Compact"/>
        <w:numPr>
          <w:ilvl w:val="0"/>
          <w:numId w:val="1012"/>
        </w:numPr>
      </w:pPr>
      <w:r>
        <w:t xml:space="preserve">Reaffirm the targets and explain the unusually strong recovery required;</w:t>
      </w:r>
    </w:p>
    <w:p>
      <w:pPr>
        <w:pStyle w:val="Compact"/>
        <w:numPr>
          <w:ilvl w:val="0"/>
          <w:numId w:val="1012"/>
        </w:numPr>
      </w:pPr>
      <w:r>
        <w:t xml:space="preserve">Recast 2026 as an inventory timing distortion that reverses in 2027; or</w:t>
      </w:r>
    </w:p>
    <w:p>
      <w:pPr>
        <w:pStyle w:val="Compact"/>
        <w:numPr>
          <w:ilvl w:val="0"/>
          <w:numId w:val="1012"/>
        </w:numPr>
      </w:pPr>
      <w:r>
        <w:t xml:space="preserve">Reset or withdraw the 2028 framework.</w:t>
      </w:r>
    </w:p>
    <w:p>
      <w:pPr>
        <w:pStyle w:val="FirstParagraph"/>
      </w:pPr>
      <w:r>
        <w:t xml:space="preserve">A vague reaffirmation without a numerical bridge would not be particularly credible.</w:t>
      </w:r>
    </w:p>
    <w:bookmarkEnd w:id="20"/>
    <w:bookmarkStart w:id="21" w:name="X3ff2a8c34b340eaf3c71548f844c36d4ad72b48"/>
    <w:p>
      <w:pPr>
        <w:pStyle w:val="Heading3"/>
      </w:pPr>
      <w:r>
        <w:t xml:space="preserve">6. The CFO transition and forecasting process</w:t>
      </w:r>
    </w:p>
    <w:p>
      <w:pPr>
        <w:pStyle w:val="FirstParagraph"/>
      </w:pPr>
      <w:r>
        <w:t xml:space="preserve">Nicholas Brazis departed on July 10 to pursue an opportunity at a private company. Former Pentair CFO Robert Fishman has returned as interim CFO.</w:t>
      </w:r>
    </w:p>
    <w:p>
      <w:pPr>
        <w:pStyle w:val="BodyText"/>
      </w:pPr>
      <w:r>
        <w:t xml:space="preserve">The departure may be unrelated to the warning, but the timing inevitably raises questions. Investors should expect discussion of:</w:t>
      </w:r>
    </w:p>
    <w:p>
      <w:pPr>
        <w:pStyle w:val="Compact"/>
        <w:numPr>
          <w:ilvl w:val="0"/>
          <w:numId w:val="1013"/>
        </w:numPr>
      </w:pPr>
      <w:r>
        <w:t xml:space="preserve">When management first identified the size of the Pool inventory problem</w:t>
      </w:r>
    </w:p>
    <w:p>
      <w:pPr>
        <w:pStyle w:val="Compact"/>
        <w:numPr>
          <w:ilvl w:val="0"/>
          <w:numId w:val="1013"/>
        </w:numPr>
      </w:pPr>
      <w:r>
        <w:t xml:space="preserve">Whether internal forecasting or channel data were deficient</w:t>
      </w:r>
    </w:p>
    <w:p>
      <w:pPr>
        <w:pStyle w:val="Compact"/>
        <w:numPr>
          <w:ilvl w:val="0"/>
          <w:numId w:val="1013"/>
        </w:numPr>
      </w:pPr>
      <w:r>
        <w:t xml:space="preserve">What changed between the April 28 guidance update and July 14 warning</w:t>
      </w:r>
    </w:p>
    <w:p>
      <w:pPr>
        <w:pStyle w:val="Compact"/>
        <w:numPr>
          <w:ilvl w:val="0"/>
          <w:numId w:val="1013"/>
        </w:numPr>
      </w:pPr>
      <w:r>
        <w:t xml:space="preserve">Whether financial controls or reporting processes require changes</w:t>
      </w:r>
    </w:p>
    <w:p>
      <w:pPr>
        <w:pStyle w:val="Compact"/>
        <w:numPr>
          <w:ilvl w:val="0"/>
          <w:numId w:val="1013"/>
        </w:numPr>
      </w:pPr>
      <w:r>
        <w:t xml:space="preserve">Timing and criteria for selecting a permanent CFO</w:t>
      </w:r>
    </w:p>
    <w:p>
      <w:pPr>
        <w:pStyle w:val="FirstParagraph"/>
      </w:pPr>
      <w:r>
        <w:t xml:space="preserve">Fishman’s prior Pentair experience should reduce transition risk. More important, however, will be his assessment of whether the revised forecast has been comprehensively scrubbed.</w:t>
      </w:r>
    </w:p>
    <w:p>
      <w:r>
        <w:pict>
          <v:rect style="width:0;height:1.5pt" o:hralign="center" o:hrstd="t" o:hr="t"/>
        </w:pict>
      </w:r>
    </w:p>
    <w:bookmarkEnd w:id="21"/>
    <w:bookmarkEnd w:id="22"/>
    <w:bookmarkStart w:id="23" w:name="capital-allocation-deserves-scrutiny"/>
    <w:p>
      <w:pPr>
        <w:pStyle w:val="Heading2"/>
      </w:pPr>
      <w:r>
        <w:t xml:space="preserve">Capital allocation deserves scrutiny</w:t>
      </w:r>
    </w:p>
    <w:p>
      <w:pPr>
        <w:pStyle w:val="FirstParagraph"/>
      </w:pPr>
      <w:r>
        <w:t xml:space="preserve">Pentair repurchased:</w:t>
      </w:r>
    </w:p>
    <w:p>
      <w:pPr>
        <w:pStyle w:val="Compact"/>
        <w:numPr>
          <w:ilvl w:val="0"/>
          <w:numId w:val="1014"/>
        </w:numPr>
      </w:pPr>
      <w:r>
        <w:rPr>
          <w:b/>
          <w:bCs/>
        </w:rPr>
        <w:t xml:space="preserve">$200 million of stock in Q1</w:t>
      </w:r>
    </w:p>
    <w:p>
      <w:pPr>
        <w:pStyle w:val="Compact"/>
        <w:numPr>
          <w:ilvl w:val="0"/>
          <w:numId w:val="1014"/>
        </w:numPr>
      </w:pPr>
      <w:r>
        <w:t xml:space="preserve">Another</w:t>
      </w:r>
      <w:r>
        <w:t xml:space="preserve"> </w:t>
      </w:r>
      <w:r>
        <w:rPr>
          <w:b/>
          <w:bCs/>
        </w:rPr>
        <w:t xml:space="preserve">$150 million, or approximately 2 million shares, in Q2</w:t>
      </w:r>
    </w:p>
    <w:p>
      <w:pPr>
        <w:pStyle w:val="FirstParagraph"/>
      </w:pPr>
      <w:r>
        <w:t xml:space="preserve">The Q2 repurchases imply an average price near $75 per share, approximately where the stock traded immediately before the warning and well above the July 27 close of $63.20.</w:t>
      </w:r>
    </w:p>
    <w:p>
      <w:pPr>
        <w:pStyle w:val="BodyText"/>
      </w:pPr>
      <w:r>
        <w:t xml:space="preserve">This does not create a balance-sheet crisis—Q1 net leverage was only about 1.7 times, and Pentair has historically generated strong cash flow—but it creates difficult capital-allocation optics. Investors should ask whether:</w:t>
      </w:r>
    </w:p>
    <w:p>
      <w:pPr>
        <w:pStyle w:val="Compact"/>
        <w:numPr>
          <w:ilvl w:val="0"/>
          <w:numId w:val="1015"/>
        </w:numPr>
      </w:pPr>
      <w:r>
        <w:t xml:space="preserve">Repurchases will continue under the revised outlook</w:t>
      </w:r>
    </w:p>
    <w:p>
      <w:pPr>
        <w:pStyle w:val="Compact"/>
        <w:numPr>
          <w:ilvl w:val="0"/>
          <w:numId w:val="1015"/>
        </w:numPr>
      </w:pPr>
      <w:r>
        <w:t xml:space="preserve">Debt reduction will receive higher priority</w:t>
      </w:r>
    </w:p>
    <w:p>
      <w:pPr>
        <w:pStyle w:val="Compact"/>
        <w:numPr>
          <w:ilvl w:val="0"/>
          <w:numId w:val="1015"/>
        </w:numPr>
      </w:pPr>
      <w:r>
        <w:t xml:space="preserve">The company still expects approximately 100% free-cash-flow conversion</w:t>
      </w:r>
    </w:p>
    <w:p>
      <w:pPr>
        <w:pStyle w:val="Compact"/>
        <w:numPr>
          <w:ilvl w:val="0"/>
          <w:numId w:val="1015"/>
        </w:numPr>
      </w:pPr>
      <w:r>
        <w:t xml:space="preserve">The Pool inventory adjustment affects receivables, rebates or working-capital collection</w:t>
      </w:r>
    </w:p>
    <w:p>
      <w:pPr>
        <w:pStyle w:val="Compact"/>
        <w:numPr>
          <w:ilvl w:val="0"/>
          <w:numId w:val="1015"/>
        </w:numPr>
      </w:pPr>
      <w:r>
        <w:t xml:space="preserve">M&amp;A activity is likely to pause until visibility improves</w:t>
      </w:r>
    </w:p>
    <w:p>
      <w:pPr>
        <w:pStyle w:val="FirstParagraph"/>
      </w:pPr>
      <w:r>
        <w:t xml:space="preserve">A strong Q2 cash-flow result would be reassuring, particularly because Q1 free cash flow was negative due to normal seasonal working-capital investment and advance-sale programs.</w:t>
      </w:r>
    </w:p>
    <w:p>
      <w:r>
        <w:pict>
          <v:rect style="width:0;height:1.5pt" o:hralign="center" o:hrstd="t" o:hr="t"/>
        </w:pict>
      </w:r>
    </w:p>
    <w:bookmarkEnd w:id="23"/>
    <w:bookmarkStart w:id="24" w:name="valuation-and-stock-setup"/>
    <w:p>
      <w:pPr>
        <w:pStyle w:val="Heading2"/>
      </w:pPr>
      <w:r>
        <w:t xml:space="preserve">Valuation and stock setup</w:t>
      </w:r>
    </w:p>
    <w:p>
      <w:pPr>
        <w:pStyle w:val="FirstParagraph"/>
      </w:pPr>
      <w:r>
        <w:t xml:space="preserve">At the July 27 closing price of</w:t>
      </w:r>
      <w:r>
        <w:t xml:space="preserve"> </w:t>
      </w:r>
      <w:r>
        <w:rPr>
          <w:b/>
          <w:bCs/>
        </w:rPr>
        <w:t xml:space="preserve">$63.20</w:t>
      </w:r>
      <w:r>
        <w:t xml:space="preserve">, PNR trades at approximately:</w:t>
      </w:r>
    </w:p>
    <w:p>
      <w:pPr>
        <w:pStyle w:val="Compact"/>
        <w:numPr>
          <w:ilvl w:val="0"/>
          <w:numId w:val="1016"/>
        </w:numPr>
      </w:pPr>
      <w:r>
        <w:rPr>
          <w:b/>
          <w:bCs/>
        </w:rPr>
        <w:t xml:space="preserve">13.2 times</w:t>
      </w:r>
      <w:r>
        <w:t xml:space="preserve"> </w:t>
      </w:r>
      <w:r>
        <w:t xml:space="preserve">the high end of 2026 adjusted EPS guidance</w:t>
      </w:r>
    </w:p>
    <w:p>
      <w:pPr>
        <w:pStyle w:val="Compact"/>
        <w:numPr>
          <w:ilvl w:val="0"/>
          <w:numId w:val="1016"/>
        </w:numPr>
      </w:pPr>
      <w:r>
        <w:rPr>
          <w:b/>
          <w:bCs/>
        </w:rPr>
        <w:t xml:space="preserve">13.7 times</w:t>
      </w:r>
      <w:r>
        <w:t xml:space="preserve"> </w:t>
      </w:r>
      <w:r>
        <w:t xml:space="preserve">the low end</w:t>
      </w:r>
    </w:p>
    <w:p>
      <w:pPr>
        <w:pStyle w:val="Compact"/>
        <w:numPr>
          <w:ilvl w:val="0"/>
          <w:numId w:val="1016"/>
        </w:numPr>
      </w:pPr>
      <w:r>
        <w:rPr>
          <w:b/>
          <w:bCs/>
        </w:rPr>
        <w:t xml:space="preserve">13.4 times</w:t>
      </w:r>
      <w:r>
        <w:t xml:space="preserve"> </w:t>
      </w:r>
      <w:r>
        <w:t xml:space="preserve">the $4.70 midpoint</w:t>
      </w:r>
    </w:p>
    <w:p>
      <w:pPr>
        <w:pStyle w:val="FirstParagraph"/>
      </w:pPr>
      <w:r>
        <w:t xml:space="preserve">That valuation is no longer demanding relative to Pentair’s historical quality, high margins and water-related portfolio. However, the stock is not automatically cheap because:</w:t>
      </w:r>
    </w:p>
    <w:p>
      <w:pPr>
        <w:pStyle w:val="Compact"/>
        <w:numPr>
          <w:ilvl w:val="0"/>
          <w:numId w:val="1017"/>
        </w:numPr>
      </w:pPr>
      <w:r>
        <w:t xml:space="preserve">Guidance already includes nonrecurring tariff refunds.</w:t>
      </w:r>
    </w:p>
    <w:p>
      <w:pPr>
        <w:pStyle w:val="Compact"/>
        <w:numPr>
          <w:ilvl w:val="0"/>
          <w:numId w:val="1017"/>
        </w:numPr>
      </w:pPr>
      <w:r>
        <w:t xml:space="preserve">Pool demand and channel inventory visibility are poor.</w:t>
      </w:r>
    </w:p>
    <w:p>
      <w:pPr>
        <w:pStyle w:val="Compact"/>
        <w:numPr>
          <w:ilvl w:val="0"/>
          <w:numId w:val="1017"/>
        </w:numPr>
      </w:pPr>
      <w:r>
        <w:t xml:space="preserve">The 2028 plan may require a significant reset.</w:t>
      </w:r>
    </w:p>
    <w:p>
      <w:pPr>
        <w:pStyle w:val="Compact"/>
        <w:numPr>
          <w:ilvl w:val="0"/>
          <w:numId w:val="1017"/>
        </w:numPr>
      </w:pPr>
      <w:r>
        <w:t xml:space="preserve">Forecasting credibility has been damaged.</w:t>
      </w:r>
    </w:p>
    <w:p>
      <w:pPr>
        <w:pStyle w:val="Compact"/>
        <w:numPr>
          <w:ilvl w:val="0"/>
          <w:numId w:val="1017"/>
        </w:numPr>
      </w:pPr>
      <w:r>
        <w:t xml:space="preserve">A large portion of the bull case now depends on a sharp 2027 rebound.</w:t>
      </w:r>
    </w:p>
    <w:p>
      <w:pPr>
        <w:pStyle w:val="FirstParagraph"/>
      </w:pPr>
      <w:r>
        <w:t xml:space="preserve">The current multiple appears to price in a meaningful—but not catastrophic—reduction in normalized earnings power. Upside requires evidence that 2026 is a temporary channel correction rather than a structural deterioration in Pool.</w:t>
      </w:r>
    </w:p>
    <w:p>
      <w:r>
        <w:pict>
          <v:rect style="width:0;height:1.5pt" o:hralign="center" o:hrstd="t" o:hr="t"/>
        </w:pict>
      </w:r>
    </w:p>
    <w:bookmarkEnd w:id="24"/>
    <w:bookmarkStart w:id="28" w:name="potential-outcomes"/>
    <w:p>
      <w:pPr>
        <w:pStyle w:val="Heading2"/>
      </w:pPr>
      <w:r>
        <w:t xml:space="preserve">Potential outcomes</w:t>
      </w:r>
    </w:p>
    <w:bookmarkStart w:id="25" w:name="bull-case"/>
    <w:p>
      <w:pPr>
        <w:pStyle w:val="Heading3"/>
      </w:pPr>
      <w:r>
        <w:t xml:space="preserve">Bull case</w:t>
      </w:r>
    </w:p>
    <w:p>
      <w:pPr>
        <w:pStyle w:val="Compact"/>
        <w:numPr>
          <w:ilvl w:val="0"/>
          <w:numId w:val="1018"/>
        </w:numPr>
      </w:pPr>
      <w:r>
        <w:t xml:space="preserve">Final Q2 results are consistent with the preliminary figures.</w:t>
      </w:r>
    </w:p>
    <w:p>
      <w:pPr>
        <w:pStyle w:val="Compact"/>
        <w:numPr>
          <w:ilvl w:val="0"/>
          <w:numId w:val="1018"/>
        </w:numPr>
      </w:pPr>
      <w:r>
        <w:t xml:space="preserve">Management confirms that the $250 million Pool inventory adjustment is comprehensive.</w:t>
      </w:r>
    </w:p>
    <w:p>
      <w:pPr>
        <w:pStyle w:val="Compact"/>
        <w:numPr>
          <w:ilvl w:val="0"/>
          <w:numId w:val="1018"/>
        </w:numPr>
      </w:pPr>
      <w:r>
        <w:t xml:space="preserve">Most destocking ends during Q3.</w:t>
      </w:r>
    </w:p>
    <w:p>
      <w:pPr>
        <w:pStyle w:val="Compact"/>
        <w:numPr>
          <w:ilvl w:val="0"/>
          <w:numId w:val="1018"/>
        </w:numPr>
      </w:pPr>
      <w:r>
        <w:t xml:space="preserve">Pool sell-through remains stable despite weak residential markets.</w:t>
      </w:r>
    </w:p>
    <w:p>
      <w:pPr>
        <w:pStyle w:val="Compact"/>
        <w:numPr>
          <w:ilvl w:val="0"/>
          <w:numId w:val="1018"/>
        </w:numPr>
      </w:pPr>
      <w:r>
        <w:t xml:space="preserve">Flow and Water Solutions remain on plan.</w:t>
      </w:r>
    </w:p>
    <w:p>
      <w:pPr>
        <w:pStyle w:val="Compact"/>
        <w:numPr>
          <w:ilvl w:val="0"/>
          <w:numId w:val="1018"/>
        </w:numPr>
      </w:pPr>
      <w:r>
        <w:t xml:space="preserve">Cash conversion is healthy.</w:t>
      </w:r>
    </w:p>
    <w:p>
      <w:pPr>
        <w:pStyle w:val="Compact"/>
        <w:numPr>
          <w:ilvl w:val="0"/>
          <w:numId w:val="1018"/>
        </w:numPr>
      </w:pPr>
      <w:r>
        <w:t xml:space="preserve">Management provides a credible bridge to substantial 2027 earnings growth.</w:t>
      </w:r>
    </w:p>
    <w:p>
      <w:pPr>
        <w:pStyle w:val="Compact"/>
        <w:numPr>
          <w:ilvl w:val="0"/>
          <w:numId w:val="1018"/>
        </w:numPr>
      </w:pPr>
      <w:r>
        <w:t xml:space="preserve">The 2028 targets are retained with detailed support.</w:t>
      </w:r>
    </w:p>
    <w:p>
      <w:pPr>
        <w:pStyle w:val="FirstParagraph"/>
      </w:pPr>
      <w:r>
        <w:t xml:space="preserve">In this scenario, the stock could begin to trade on normalized 2027 earnings rather than depressed 2026 results.</w:t>
      </w:r>
    </w:p>
    <w:bookmarkEnd w:id="25"/>
    <w:bookmarkStart w:id="26" w:name="base-case"/>
    <w:p>
      <w:pPr>
        <w:pStyle w:val="Heading3"/>
      </w:pPr>
      <w:r>
        <w:t xml:space="preserve">Base case</w:t>
      </w:r>
    </w:p>
    <w:p>
      <w:pPr>
        <w:pStyle w:val="Compact"/>
        <w:numPr>
          <w:ilvl w:val="0"/>
          <w:numId w:val="1019"/>
        </w:numPr>
      </w:pPr>
      <w:r>
        <w:t xml:space="preserve">Preliminary results and revised guidance are reiterated.</w:t>
      </w:r>
    </w:p>
    <w:p>
      <w:pPr>
        <w:pStyle w:val="Compact"/>
        <w:numPr>
          <w:ilvl w:val="0"/>
          <w:numId w:val="1019"/>
        </w:numPr>
      </w:pPr>
      <w:r>
        <w:t xml:space="preserve">Management offers better inventory detail but limited numerical 2027 guidance.</w:t>
      </w:r>
    </w:p>
    <w:p>
      <w:pPr>
        <w:pStyle w:val="Compact"/>
        <w:numPr>
          <w:ilvl w:val="0"/>
          <w:numId w:val="1019"/>
        </w:numPr>
      </w:pPr>
      <w:r>
        <w:t xml:space="preserve">Destocking continues through the second half.</w:t>
      </w:r>
    </w:p>
    <w:p>
      <w:pPr>
        <w:pStyle w:val="Compact"/>
        <w:numPr>
          <w:ilvl w:val="0"/>
          <w:numId w:val="1019"/>
        </w:numPr>
      </w:pPr>
      <w:r>
        <w:t xml:space="preserve">Flow and Water Solutions offset some Pool weakness.</w:t>
      </w:r>
    </w:p>
    <w:p>
      <w:pPr>
        <w:pStyle w:val="Compact"/>
        <w:numPr>
          <w:ilvl w:val="0"/>
          <w:numId w:val="1019"/>
        </w:numPr>
      </w:pPr>
      <w:r>
        <w:t xml:space="preserve">Long-term targets remain nominally in place but are effectively deferred for reassessment.</w:t>
      </w:r>
    </w:p>
    <w:p>
      <w:pPr>
        <w:pStyle w:val="FirstParagraph"/>
      </w:pPr>
      <w:r>
        <w:t xml:space="preserve">This would likely stabilize the shares without immediately restoring the prior valuation.</w:t>
      </w:r>
    </w:p>
    <w:bookmarkEnd w:id="26"/>
    <w:bookmarkStart w:id="27" w:name="bear-case"/>
    <w:p>
      <w:pPr>
        <w:pStyle w:val="Heading3"/>
      </w:pPr>
      <w:r>
        <w:t xml:space="preserve">Bear case</w:t>
      </w:r>
    </w:p>
    <w:p>
      <w:pPr>
        <w:pStyle w:val="Compact"/>
        <w:numPr>
          <w:ilvl w:val="0"/>
          <w:numId w:val="1020"/>
        </w:numPr>
      </w:pPr>
      <w:r>
        <w:t xml:space="preserve">Final results fall below the preliminary figures.</w:t>
      </w:r>
    </w:p>
    <w:p>
      <w:pPr>
        <w:pStyle w:val="Compact"/>
        <w:numPr>
          <w:ilvl w:val="0"/>
          <w:numId w:val="1020"/>
        </w:numPr>
      </w:pPr>
      <w:r>
        <w:t xml:space="preserve">Additional inventory or pricing pressure emerges.</w:t>
      </w:r>
    </w:p>
    <w:p>
      <w:pPr>
        <w:pStyle w:val="Compact"/>
        <w:numPr>
          <w:ilvl w:val="0"/>
          <w:numId w:val="1020"/>
        </w:numPr>
      </w:pPr>
      <w:r>
        <w:t xml:space="preserve">Destocking extends into 2027.</w:t>
      </w:r>
    </w:p>
    <w:p>
      <w:pPr>
        <w:pStyle w:val="Compact"/>
        <w:numPr>
          <w:ilvl w:val="0"/>
          <w:numId w:val="1020"/>
        </w:numPr>
      </w:pPr>
      <w:r>
        <w:t xml:space="preserve">Pool sell-through is weaker than management’s flat-volume assumption.</w:t>
      </w:r>
    </w:p>
    <w:p>
      <w:pPr>
        <w:pStyle w:val="Compact"/>
        <w:numPr>
          <w:ilvl w:val="0"/>
          <w:numId w:val="1020"/>
        </w:numPr>
      </w:pPr>
      <w:r>
        <w:t xml:space="preserve">Market share or dealer-relationship concerns surface.</w:t>
      </w:r>
    </w:p>
    <w:p>
      <w:pPr>
        <w:pStyle w:val="Compact"/>
        <w:numPr>
          <w:ilvl w:val="0"/>
          <w:numId w:val="1020"/>
        </w:numPr>
      </w:pPr>
      <w:r>
        <w:t xml:space="preserve">Free cash flow disappoints or working-capital risks increase.</w:t>
      </w:r>
    </w:p>
    <w:p>
      <w:pPr>
        <w:pStyle w:val="Compact"/>
        <w:numPr>
          <w:ilvl w:val="0"/>
          <w:numId w:val="1020"/>
        </w:numPr>
      </w:pPr>
      <w:r>
        <w:t xml:space="preserve">The 2028 targets are withdrawn without a replacement framework.</w:t>
      </w:r>
    </w:p>
    <w:p>
      <w:pPr>
        <w:pStyle w:val="Compact"/>
        <w:numPr>
          <w:ilvl w:val="0"/>
          <w:numId w:val="1020"/>
        </w:numPr>
      </w:pPr>
      <w:r>
        <w:t xml:space="preserve">Management cannot clearly explain why the problem was not identified earlier.</w:t>
      </w:r>
    </w:p>
    <w:p>
      <w:pPr>
        <w:pStyle w:val="FirstParagraph"/>
      </w:pPr>
      <w:r>
        <w:t xml:space="preserve">That would suggest the July 14 reset was not a full clearing event.</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The numerical Q2 miss is already known. The investment decision now turns on</w:t>
      </w:r>
      <w:r>
        <w:t xml:space="preserve"> </w:t>
      </w:r>
      <w:r>
        <w:rPr>
          <w:b/>
          <w:bCs/>
        </w:rPr>
        <w:t xml:space="preserve">duration, normalization and credibility</w:t>
      </w:r>
      <w:r>
        <w:t xml:space="preserve">.</w:t>
      </w:r>
    </w:p>
    <w:p>
      <w:pPr>
        <w:pStyle w:val="BodyText"/>
      </w:pPr>
      <w:r>
        <w:t xml:space="preserve">The most constructive possible message would be:</w:t>
      </w:r>
    </w:p>
    <w:p>
      <w:pPr>
        <w:pStyle w:val="BlockText"/>
      </w:pPr>
      <w:r>
        <w:t xml:space="preserve">Channel inventory has been fully reviewed, the remaining second-half adjustment is quantified, end-market sell-through is stable, and 2027 begins from a clean inventory position.</w:t>
      </w:r>
    </w:p>
    <w:p>
      <w:pPr>
        <w:pStyle w:val="FirstParagraph"/>
      </w:pPr>
      <w:r>
        <w:t xml:space="preserve">The most concerning message would be that management still lacks precise channel visibility or is relying on an eventual residential recovery to justify its outlook.</w:t>
      </w:r>
    </w:p>
    <w:p>
      <w:pPr>
        <w:pStyle w:val="BodyText"/>
      </w:pPr>
      <w:r>
        <w:t xml:space="preserve">PNR’s lower valuation, strong non-Pool businesses and potential Pool operating leverage create recovery upside. But investors should require a detailed inventory bridge and a realistic revision of the 2027–2028 algorithm before treating the recent selloff as a straightforward buying opportunity.</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2026-07-28T00:32:19Z</dcterms:created>
  <dcterms:modified xsi:type="dcterms:W3CDTF">2026-07-28T00:32:19Z</dcterms:modified>
</cp:coreProperties>
</file>

<file path=docProps/custom.xml><?xml version="1.0" encoding="utf-8"?>
<Properties xmlns="http://schemas.openxmlformats.org/officeDocument/2006/custom-properties" xmlns:vt="http://schemas.openxmlformats.org/officeDocument/2006/docPropsVTypes"/>
</file>