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pentair-nyse-pnr--2q26-earnings-preview"/>
    <w:p>
      <w:pPr>
        <w:pStyle w:val="Heading1"/>
      </w:pPr>
      <w:r>
        <w:t xml:space="preserve">Pentair (NYSE: PNR) — 2Q26 Earnings Preview</w:t>
      </w:r>
    </w:p>
    <w:p>
      <w:pPr>
        <w:pStyle w:val="BlockText"/>
      </w:pPr>
      <w:r>
        <w:rPr>
          <w:b/>
          <w:bCs/>
        </w:rPr>
        <w:t xml:space="preserve">Date clarification:</w:t>
      </w:r>
      <w:r>
        <w:t xml:space="preserve"> </w:t>
      </w:r>
      <w:r>
        <w:t xml:space="preserve">Pentair is scheduled to report</w:t>
      </w:r>
      <w:r>
        <w:t xml:space="preserve"> </w:t>
      </w:r>
      <w:r>
        <w:rPr>
          <w:b/>
          <w:bCs/>
        </w:rPr>
        <w:t xml:space="preserve">before the U.S. market opens today, Tuesday, July 28, 2026</w:t>
      </w:r>
      <w:r>
        <w:t xml:space="preserve">, with its investor call at</w:t>
      </w:r>
      <w:r>
        <w:t xml:space="preserve"> </w:t>
      </w:r>
      <w:r>
        <w:rPr>
          <w:b/>
          <w:bCs/>
        </w:rPr>
        <w:t xml:space="preserve">9:00 a.m. ET</w:t>
      </w:r>
      <w:r>
        <w:t xml:space="preserve">—not tomorrow. More importantly, this is not a conventional “earnings surprise” setup: the company issued a detailed negative preannouncement on</w:t>
      </w:r>
      <w:r>
        <w:t xml:space="preserve"> </w:t>
      </w:r>
      <w:r>
        <w:rPr>
          <w:b/>
          <w:bCs/>
        </w:rPr>
        <w:t xml:space="preserve">July 14, 2026</w:t>
      </w:r>
      <w:r>
        <w:t xml:space="preserve">. The central question for investors is therefore whether management can credibly ring-fence the Pool inventory problem and establish a path to normalized growth in 2027.</w:t>
      </w:r>
    </w:p>
    <w:bookmarkStart w:id="9" w:name="X8504a81603612439f8e4e5fc3072788fbbf3e1a"/>
    <w:p>
      <w:pPr>
        <w:pStyle w:val="Heading2"/>
      </w:pPr>
      <w:r>
        <w:t xml:space="preserve">Investment setup: the numbers are largely known; the debate is about the reset</w:t>
      </w:r>
    </w:p>
    <w:p>
      <w:pPr>
        <w:pStyle w:val="FirstParagraph"/>
      </w:pPr>
      <w:r>
        <w:t xml:space="preserve">Pentair preannounced that 2Q26 sales will be about</w:t>
      </w:r>
      <w:r>
        <w:t xml:space="preserve"> </w:t>
      </w:r>
      <m:oMath>
        <m:r>
          <m:t>930</m:t>
        </m:r>
        <m:r>
          <m:t>m</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a</m:t>
        </m:r>
        <m:r>
          <m:t>b</m:t>
        </m:r>
        <m:r>
          <m:t>o</m:t>
        </m:r>
        <m:r>
          <m:t>u</m:t>
        </m:r>
        <m:r>
          <m:t>t</m:t>
        </m:r>
        <m:r>
          <m:rPr>
            <m:sty m:val="p"/>
          </m:rPr>
          <m:t>*</m:t>
        </m:r>
        <m:r>
          <m:rPr>
            <m:sty m:val="p"/>
          </m:rPr>
          <m:t>*</m:t>
        </m:r>
      </m:oMath>
      <w:r>
        <w:rPr>
          <w:b/>
          <w:bCs/>
        </w:rPr>
        <w:t xml:space="preserve">1.12</w:t>
      </w:r>
      <w:r>
        <w:t xml:space="preserve">, versus its prior guidance of</w:t>
      </w:r>
      <w:r>
        <w:t xml:space="preserve"> </w:t>
      </w:r>
      <m:oMath>
        <m:r>
          <m:t>1.47</m:t>
        </m:r>
        <m:r>
          <m:rPr>
            <m:sty m:val="p"/>
          </m:rPr>
          <m:t>–</m:t>
        </m:r>
      </m:oMath>
      <w:r>
        <w:rPr>
          <w:b/>
          <w:bCs/>
        </w:rPr>
        <w:t xml:space="preserve">1.50</w:t>
      </w:r>
      <w:r>
        <w:t xml:space="preserve">. The shortfall is overwhelmingly tied to a sharper-than-expected inventory correction at Pool-channel partners.</w:t>
      </w:r>
    </w:p>
    <w:p>
      <w:pPr>
        <w:pStyle w:val="BodyText"/>
      </w:pPr>
      <w:r>
        <w:t xml:space="preserve">The company estimates that Pool-channel destocking will reduce:</w:t>
      </w:r>
    </w:p>
    <w:p>
      <w:pPr>
        <w:pStyle w:val="Compact"/>
        <w:numPr>
          <w:ilvl w:val="0"/>
          <w:numId w:val="1001"/>
        </w:numPr>
      </w:pPr>
      <w:r>
        <w:rPr>
          <w:b/>
          <w:bCs/>
        </w:rPr>
        <w:t xml:space="preserve">2Q Pool sales by roughly $170 million</w:t>
      </w:r>
    </w:p>
    <w:p>
      <w:pPr>
        <w:pStyle w:val="Compact"/>
        <w:numPr>
          <w:ilvl w:val="0"/>
          <w:numId w:val="1001"/>
        </w:numPr>
      </w:pPr>
      <w:r>
        <w:rPr>
          <w:b/>
          <w:bCs/>
        </w:rPr>
        <w:t xml:space="preserve">2Q Pool segment income by roughly $105 million</w:t>
      </w:r>
    </w:p>
    <w:p>
      <w:pPr>
        <w:pStyle w:val="Compact"/>
        <w:numPr>
          <w:ilvl w:val="0"/>
          <w:numId w:val="1001"/>
        </w:numPr>
      </w:pPr>
      <w:r>
        <w:rPr>
          <w:b/>
          <w:bCs/>
        </w:rPr>
        <w:t xml:space="preserve">Full-year Pool sales by roughly $250 million</w:t>
      </w:r>
    </w:p>
    <w:p>
      <w:pPr>
        <w:pStyle w:val="Compact"/>
        <w:numPr>
          <w:ilvl w:val="0"/>
          <w:numId w:val="1001"/>
        </w:numPr>
      </w:pPr>
      <w:r>
        <w:rPr>
          <w:b/>
          <w:bCs/>
        </w:rPr>
        <w:t xml:space="preserve">Full-year Pool segment income by roughly $155 million</w:t>
      </w:r>
    </w:p>
    <w:p>
      <w:pPr>
        <w:pStyle w:val="FirstParagraph"/>
      </w:pPr>
      <w:r>
        <w:t xml:space="preserve">Management also lowered 2026 guidance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Revised FY26 outlook</w:t>
            </w:r>
          </w:p>
        </w:tc>
        <w:tc>
          <w:tcPr/>
          <w:p>
            <w:pPr>
              <w:pStyle w:val="Compact"/>
              <w:jc w:val="right"/>
            </w:pPr>
            <w:r>
              <w:t xml:space="preserve">Prior outlook</w:t>
            </w:r>
          </w:p>
        </w:tc>
      </w:tr>
      <w:tr>
        <w:tc>
          <w:tcPr/>
          <w:p>
            <w:pPr>
              <w:pStyle w:val="Compact"/>
            </w:pPr>
            <w:r>
              <w:t xml:space="preserve">Sales growth</w:t>
            </w:r>
          </w:p>
        </w:tc>
        <w:tc>
          <w:tcPr/>
          <w:p>
            <w:pPr>
              <w:pStyle w:val="Compact"/>
              <w:jc w:val="right"/>
            </w:pPr>
            <w:r>
              <w:rPr>
                <w:b/>
                <w:bCs/>
              </w:rPr>
              <w:t xml:space="preserve">Down 4% to 7%</w:t>
            </w:r>
          </w:p>
        </w:tc>
        <w:tc>
          <w:tcPr/>
          <w:p>
            <w:pPr>
              <w:pStyle w:val="Compact"/>
              <w:jc w:val="right"/>
            </w:pPr>
            <w:r>
              <w:t xml:space="preserve">Up 2% to 4%</w:t>
            </w:r>
          </w:p>
        </w:tc>
      </w:tr>
      <w:tr>
        <w:tc>
          <w:tcPr/>
          <w:p>
            <w:pPr>
              <w:pStyle w:val="Compact"/>
            </w:pPr>
            <w:r>
              <w:t xml:space="preserve">Adjusted operating income growth</w:t>
            </w:r>
          </w:p>
        </w:tc>
        <w:tc>
          <w:tcPr/>
          <w:p>
            <w:pPr>
              <w:pStyle w:val="Compact"/>
              <w:jc w:val="right"/>
            </w:pPr>
            <w:r>
              <w:rPr>
                <w:b/>
                <w:bCs/>
              </w:rPr>
              <w:t xml:space="preserve">Down 5% to 9%</w:t>
            </w:r>
          </w:p>
        </w:tc>
        <w:tc>
          <w:tcPr/>
          <w:p>
            <w:pPr>
              <w:pStyle w:val="Compact"/>
              <w:jc w:val="right"/>
            </w:pPr>
            <w:r>
              <w:t xml:space="preserve">Up 6% to 8%</w:t>
            </w:r>
          </w:p>
        </w:tc>
      </w:tr>
      <w:tr>
        <w:tc>
          <w:tcPr/>
          <w:p>
            <w:pPr>
              <w:pStyle w:val="Compact"/>
            </w:pPr>
            <w:r>
              <w:t xml:space="preserve">Adjusted EPS</w:t>
            </w:r>
          </w:p>
        </w:tc>
        <w:tc>
          <w:tcPr/>
          <w:p>
            <w:pPr>
              <w:pStyle w:val="Compact"/>
              <w:jc w:val="right"/>
            </w:pPr>
            <m:oMath>
              <m:r>
                <m:t>4.60</m:t>
              </m:r>
              <m:r>
                <m:rPr>
                  <m:sty m:val="p"/>
                </m:rPr>
                <m:t>–</m:t>
              </m:r>
            </m:oMath>
            <w:r>
              <w:rPr>
                <w:b/>
                <w:bCs/>
              </w:rPr>
              <w:t xml:space="preserve">4.80</w:t>
            </w:r>
          </w:p>
        </w:tc>
        <w:tc>
          <w:tcPr/>
          <w:p>
            <w:pPr>
              <w:pStyle w:val="Compact"/>
              <w:jc w:val="right"/>
            </w:pPr>
            <m:oMath>
              <m:r>
                <m:t>5.30</m:t>
              </m:r>
              <m:r>
                <m:rPr>
                  <m:sty m:val="p"/>
                </m:rPr>
                <m:t>–</m:t>
              </m:r>
            </m:oMath>
            <w:r>
              <w:t xml:space="preserve">5.40</w:t>
            </w:r>
          </w:p>
        </w:tc>
      </w:tr>
      <w:tr>
        <w:tc>
          <w:tcPr/>
          <w:p>
            <w:pPr>
              <w:pStyle w:val="Compact"/>
            </w:pPr>
            <w:r>
              <w:t xml:space="preserve">EBITDA</w:t>
            </w:r>
          </w:p>
        </w:tc>
        <w:tc>
          <w:tcPr/>
          <w:p>
            <w:pPr>
              <w:pStyle w:val="Compact"/>
              <w:jc w:val="right"/>
            </w:pPr>
            <w:r>
              <w:rPr>
                <w:b/>
                <w:bCs/>
              </w:rPr>
              <w:t xml:space="preserve">~$1.05 billion</w:t>
            </w:r>
          </w:p>
        </w:tc>
        <w:tc>
          <w:tcPr/>
          <w:p>
            <w:pPr>
              <w:pStyle w:val="Compact"/>
              <w:jc w:val="right"/>
            </w:pPr>
            <w:r>
              <w:t xml:space="preserve">—</w:t>
            </w:r>
          </w:p>
        </w:tc>
      </w:tr>
    </w:tbl>
    <w:p>
      <w:pPr>
        <w:pStyle w:val="BodyText"/>
      </w:pPr>
      <w:r>
        <w:t xml:space="preserve">This is a major reset, but it also means the July 28 release should be evaluated less on the reported quarter and more on whether the revised outlook proves conservative enough.</w:t>
      </w:r>
    </w:p>
    <w:bookmarkEnd w:id="9"/>
    <w:bookmarkStart w:id="10" w:name="what-is-already-priced-into-the-print"/>
    <w:p>
      <w:pPr>
        <w:pStyle w:val="Heading2"/>
      </w:pPr>
      <w:r>
        <w:t xml:space="preserve">What is already priced into the print</w:t>
      </w:r>
    </w:p>
    <w:p>
      <w:pPr>
        <w:pStyle w:val="FirstParagraph"/>
      </w:pPr>
      <w:r>
        <w:t xml:space="preserve">The preannouncement implies a stark year-over-year deterioration in reported results:</w:t>
      </w:r>
    </w:p>
    <w:p>
      <w:pPr>
        <w:pStyle w:val="Compact"/>
        <w:numPr>
          <w:ilvl w:val="0"/>
          <w:numId w:val="1002"/>
        </w:numPr>
      </w:pPr>
      <w:r>
        <w:rPr>
          <w:b/>
          <w:bCs/>
        </w:rPr>
        <w:t xml:space="preserve">Sales:</w:t>
      </w:r>
      <w:r>
        <w:t xml:space="preserve"> </w:t>
      </w:r>
      <w:r>
        <w:t xml:space="preserve">approximately</w:t>
      </w:r>
      <w:r>
        <w:t xml:space="preserve"> </w:t>
      </w:r>
      <w:r>
        <w:rPr>
          <w:b/>
          <w:bCs/>
        </w:rPr>
        <w:t xml:space="preserve">$930 million</w:t>
      </w:r>
      <w:r>
        <w:t xml:space="preserve">, down about</w:t>
      </w:r>
      <w:r>
        <w:t xml:space="preserve"> </w:t>
      </w:r>
      <w:r>
        <w:rPr>
          <w:b/>
          <w:bCs/>
        </w:rPr>
        <w:t xml:space="preserve">17%</w:t>
      </w:r>
      <w:r>
        <w:t xml:space="preserve"> </w:t>
      </w:r>
      <w:r>
        <w:t xml:space="preserve">from 2Q25 sales of $1.12 billion.</w:t>
      </w:r>
    </w:p>
    <w:p>
      <w:pPr>
        <w:pStyle w:val="Compact"/>
        <w:numPr>
          <w:ilvl w:val="0"/>
          <w:numId w:val="1002"/>
        </w:numPr>
      </w:pPr>
      <w:r>
        <w:rPr>
          <w:b/>
          <w:bCs/>
        </w:rPr>
        <w:t xml:space="preserve">Adjusted operating income:</w:t>
      </w:r>
      <w:r>
        <w:t xml:space="preserve"> </w:t>
      </w:r>
      <w:r>
        <w:t xml:space="preserve">approximately</w:t>
      </w:r>
      <w:r>
        <w:t xml:space="preserve"> </w:t>
      </w:r>
      <w:r>
        <w:rPr>
          <w:b/>
          <w:bCs/>
        </w:rPr>
        <w:t xml:space="preserve">$235 million</w:t>
      </w:r>
      <w:r>
        <w:t xml:space="preserve">, down about</w:t>
      </w:r>
      <w:r>
        <w:t xml:space="preserve"> </w:t>
      </w:r>
      <w:r>
        <w:rPr>
          <w:b/>
          <w:bCs/>
        </w:rPr>
        <w:t xml:space="preserve">21%</w:t>
      </w:r>
      <w:r>
        <w:t xml:space="preserve"> </w:t>
      </w:r>
      <w:r>
        <w:t xml:space="preserve">from $296.7 million in 2Q25.</w:t>
      </w:r>
    </w:p>
    <w:p>
      <w:pPr>
        <w:pStyle w:val="Compact"/>
        <w:numPr>
          <w:ilvl w:val="0"/>
          <w:numId w:val="1002"/>
        </w:numPr>
      </w:pPr>
      <w:r>
        <w:rPr>
          <w:b/>
          <w:bCs/>
        </w:rPr>
        <w:t xml:space="preserve">Adjusted EPS:</w:t>
      </w:r>
      <w:r>
        <w:t xml:space="preserve"> </w:t>
      </w:r>
      <w:r>
        <w:t xml:space="preserve">approximately</w:t>
      </w:r>
      <w:r>
        <w:t xml:space="preserve"> </w:t>
      </w:r>
      <w:r>
        <w:rPr>
          <w:b/>
          <w:bCs/>
        </w:rPr>
        <w:t xml:space="preserve">$1.12</w:t>
      </w:r>
      <w:r>
        <w:t xml:space="preserve">, down about</w:t>
      </w:r>
      <w:r>
        <w:t xml:space="preserve"> </w:t>
      </w:r>
      <w:r>
        <w:rPr>
          <w:b/>
          <w:bCs/>
        </w:rPr>
        <w:t xml:space="preserve">19%</w:t>
      </w:r>
      <w:r>
        <w:t xml:space="preserve"> </w:t>
      </w:r>
      <w:r>
        <w:t xml:space="preserve">from $1.39 in 2Q25.</w:t>
      </w:r>
    </w:p>
    <w:p>
      <w:pPr>
        <w:pStyle w:val="Compact"/>
        <w:numPr>
          <w:ilvl w:val="0"/>
          <w:numId w:val="1002"/>
        </w:numPr>
      </w:pPr>
      <w:r>
        <w:rPr>
          <w:b/>
          <w:bCs/>
        </w:rPr>
        <w:t xml:space="preserve">Adjusted operating margin:</w:t>
      </w:r>
      <w:r>
        <w:t xml:space="preserve"> </w:t>
      </w:r>
      <w:r>
        <w:t xml:space="preserve">roughly</w:t>
      </w:r>
      <w:r>
        <w:t xml:space="preserve"> </w:t>
      </w:r>
      <w:r>
        <w:rPr>
          <w:b/>
          <w:bCs/>
        </w:rPr>
        <w:t xml:space="preserve">25%</w:t>
      </w:r>
      <w:r>
        <w:t xml:space="preserve">, versus</w:t>
      </w:r>
      <w:r>
        <w:t xml:space="preserve"> </w:t>
      </w:r>
      <w:r>
        <w:rPr>
          <w:b/>
          <w:bCs/>
        </w:rPr>
        <w:t xml:space="preserve">26.4%</w:t>
      </w:r>
      <w:r>
        <w:t xml:space="preserve"> </w:t>
      </w:r>
      <w:r>
        <w:t xml:space="preserve">a year ago.</w:t>
      </w:r>
    </w:p>
    <w:p>
      <w:pPr>
        <w:pStyle w:val="FirstParagraph"/>
      </w:pPr>
      <w:r>
        <w:t xml:space="preserve">There is an important offset embedded in those figures: Pentair expects around</w:t>
      </w:r>
      <w:r>
        <w:t xml:space="preserve"> </w:t>
      </w:r>
      <w:r>
        <w:rPr>
          <w:b/>
          <w:bCs/>
        </w:rPr>
        <w:t xml:space="preserve">$35 million of IEEPA tariff refunds</w:t>
      </w:r>
      <w:r>
        <w:t xml:space="preserve"> </w:t>
      </w:r>
      <w:r>
        <w:t xml:space="preserve">in 2Q. Consequently, the reported adjusted result will be flattered by a discrete benefit even as Pool’s underlying operating performance deteriorates sharply.</w:t>
      </w:r>
    </w:p>
    <w:p>
      <w:pPr>
        <w:pStyle w:val="BodyText"/>
      </w:pPr>
      <w:r>
        <w:t xml:space="preserve">The market has already reacted. PNR closed at</w:t>
      </w:r>
      <w:r>
        <w:t xml:space="preserve"> </w:t>
      </w:r>
      <m:oMath>
        <m:r>
          <m:t>75.68</m:t>
        </m:r>
        <m:r>
          <m:t>o</m:t>
        </m:r>
        <m:r>
          <m:t>n</m:t>
        </m:r>
        <m:r>
          <m:t>J</m:t>
        </m:r>
        <m:r>
          <m:t>u</m:t>
        </m:r>
        <m:r>
          <m:t>l</m:t>
        </m:r>
        <m:r>
          <m:t>y</m:t>
        </m:r>
        <m:r>
          <m:t>14</m:t>
        </m:r>
        <m:r>
          <m:rPr>
            <m:sty m:val="p"/>
          </m:rPr>
          <m:t>*</m:t>
        </m:r>
        <m:r>
          <m:rPr>
            <m:sty m:val="p"/>
          </m:rPr>
          <m:t>*</m:t>
        </m:r>
        <m:r>
          <m:rPr>
            <m:sty m:val="p"/>
          </m:rPr>
          <m:t>,</m:t>
        </m:r>
        <m:r>
          <m:t>b</m:t>
        </m:r>
        <m:r>
          <m:t>e</m:t>
        </m:r>
        <m:r>
          <m:t>f</m:t>
        </m:r>
        <m:r>
          <m:t>o</m:t>
        </m:r>
        <m:r>
          <m:t>r</m:t>
        </m:r>
        <m:r>
          <m:t>e</m:t>
        </m:r>
        <m:r>
          <m:t>t</m:t>
        </m:r>
        <m:r>
          <m:t>h</m:t>
        </m:r>
        <m:r>
          <m:t>e</m:t>
        </m:r>
        <m:r>
          <m:t>r</m:t>
        </m:r>
        <m:r>
          <m:t>e</m:t>
        </m:r>
        <m:r>
          <m:t>a</m:t>
        </m:r>
        <m:r>
          <m:t>c</m:t>
        </m:r>
        <m:r>
          <m:t>t</m:t>
        </m:r>
        <m:r>
          <m:t>i</m:t>
        </m:r>
        <m:r>
          <m:t>o</m:t>
        </m:r>
        <m:r>
          <m:t>n</m:t>
        </m:r>
        <m:r>
          <m:t>t</m:t>
        </m:r>
        <m:r>
          <m:t>o</m:t>
        </m:r>
        <m:r>
          <m:t>t</m:t>
        </m:r>
        <m:r>
          <m:t>h</m:t>
        </m:r>
        <m:r>
          <m:t>e</m:t>
        </m:r>
        <m:r>
          <m:t>p</m:t>
        </m:r>
        <m:r>
          <m:t>r</m:t>
        </m:r>
        <m:r>
          <m:t>e</m:t>
        </m:r>
        <m:r>
          <m:t>a</m:t>
        </m:r>
        <m:r>
          <m:t>n</m:t>
        </m:r>
        <m:r>
          <m:t>n</m:t>
        </m:r>
        <m:r>
          <m:t>o</m:t>
        </m:r>
        <m:r>
          <m:t>u</m:t>
        </m:r>
        <m:r>
          <m:t>n</m:t>
        </m:r>
        <m:r>
          <m:t>c</m:t>
        </m:r>
        <m:r>
          <m:t>e</m:t>
        </m:r>
        <m:r>
          <m:t>m</m:t>
        </m:r>
        <m:r>
          <m:t>e</m:t>
        </m:r>
        <m:r>
          <m:t>n</m:t>
        </m:r>
        <m:r>
          <m:t>t</m:t>
        </m:r>
        <m:r>
          <m:rPr>
            <m:sty m:val="p"/>
          </m:rPr>
          <m:t>,</m:t>
        </m:r>
        <m:r>
          <m:t>f</m:t>
        </m:r>
        <m:r>
          <m:t>e</m:t>
        </m:r>
        <m:r>
          <m:t>l</m:t>
        </m:r>
        <m:r>
          <m:t>l</m:t>
        </m:r>
        <m:r>
          <m:t>t</m:t>
        </m:r>
        <m:r>
          <m:t>o</m:t>
        </m:r>
        <m:r>
          <m:rPr>
            <m:sty m:val="p"/>
          </m:rPr>
          <m:t>*</m:t>
        </m:r>
        <m:r>
          <m:rPr>
            <m:sty m:val="p"/>
          </m:rPr>
          <m:t>*</m:t>
        </m:r>
      </m:oMath>
      <w:r>
        <w:rPr>
          <w:b/>
          <w:bCs/>
        </w:rPr>
        <w:t xml:space="preserve">64.33 on July 15</w:t>
      </w:r>
      <w:r>
        <w:t xml:space="preserve">, and was</w:t>
      </w:r>
      <w:r>
        <w:t xml:space="preserve"> </w:t>
      </w:r>
      <w:r>
        <w:rPr>
          <w:b/>
          <w:bCs/>
        </w:rPr>
        <w:t xml:space="preserve">$63.20 on July 27</w:t>
      </w:r>
      <w:r>
        <w:t xml:space="preserve">. That roughly 16–17% reset suggests expectations have been reduced substantially—but investors will remain sensitive to any evidence that the inventory issue is broader, longer-lasting, or more structural than management’s framing.</w:t>
      </w:r>
    </w:p>
    <w:bookmarkEnd w:id="10"/>
    <w:bookmarkStart w:id="12" w:name="X866b19b02456a1ec085f43005e32b21193d4bee"/>
    <w:p>
      <w:pPr>
        <w:pStyle w:val="Heading2"/>
      </w:pPr>
      <w:r>
        <w:t xml:space="preserve">The core issue: Pool sell-in versus end-market sell-through</w:t>
      </w:r>
    </w:p>
    <w:p>
      <w:pPr>
        <w:pStyle w:val="FirstParagraph"/>
      </w:pPr>
      <w:r>
        <w:t xml:space="preserve">Pentair’s Pool segment represented about</w:t>
      </w:r>
      <w:r>
        <w:t xml:space="preserve"> </w:t>
      </w:r>
      <w:r>
        <w:rPr>
          <w:b/>
          <w:bCs/>
        </w:rPr>
        <w:t xml:space="preserve">37% of 1Q26 sales</w:t>
      </w:r>
      <w:r>
        <w:t xml:space="preserve"> </w:t>
      </w:r>
      <w:r>
        <w:t xml:space="preserve">and was its highest-margin business, with a</w:t>
      </w:r>
      <w:r>
        <w:t xml:space="preserve"> </w:t>
      </w:r>
      <w:r>
        <w:rPr>
          <w:b/>
          <w:bCs/>
        </w:rPr>
        <w:t xml:space="preserve">33.1% segment margin</w:t>
      </w:r>
      <w:r>
        <w:t xml:space="preserve"> </w:t>
      </w:r>
      <w:r>
        <w:t xml:space="preserve">in the first quarter. That makes a Pool shipment correction disproportionately painful to both sales and earnings.</w:t>
      </w:r>
    </w:p>
    <w:p>
      <w:pPr>
        <w:pStyle w:val="BodyText"/>
      </w:pPr>
      <w:r>
        <w:t xml:space="preserve">In April, management had already warned that channel purchases might need to decline in 2Q and 3Q as distributor inventories normalized relative to consumer sell-through. At the time, Pentair described underlying Pool sell-through as roughly flat in volume, plus pricing. The July preannouncement indicates that the necessary channel correction was much larger than anticipated.</w:t>
      </w:r>
    </w:p>
    <w:bookmarkStart w:id="11" w:name="X998387217f59e8b1870a44bdb794b8c698db600"/>
    <w:p>
      <w:pPr>
        <w:pStyle w:val="Heading3"/>
      </w:pPr>
      <w:r>
        <w:t xml:space="preserve">The questions that matter most on the call</w:t>
      </w:r>
    </w:p>
    <w:p>
      <w:pPr>
        <w:numPr>
          <w:ilvl w:val="0"/>
          <w:numId w:val="1003"/>
        </w:numPr>
      </w:pPr>
      <w:r>
        <w:rPr>
          <w:b/>
          <w:bCs/>
        </w:rPr>
        <w:t xml:space="preserve">How much inventory remains in the channel?</w:t>
      </w:r>
      <w:r>
        <w:br/>
      </w:r>
      <w:r>
        <w:t xml:space="preserve">Investors need a clear bridge from the estimated</w:t>
      </w:r>
      <w:r>
        <w:t xml:space="preserve"> </w:t>
      </w:r>
      <m:oMath>
        <m:r>
          <m:t>170</m:t>
        </m:r>
        <m:r>
          <m:t>m</m:t>
        </m:r>
        <m:r>
          <m:t>i</m:t>
        </m:r>
        <m:r>
          <m:t>l</m:t>
        </m:r>
        <m:r>
          <m:t>l</m:t>
        </m:r>
        <m:r>
          <m:t>i</m:t>
        </m:r>
        <m:r>
          <m:t>o</m:t>
        </m:r>
        <m:r>
          <m:t>n</m:t>
        </m:r>
        <m:r>
          <m:t>2</m:t>
        </m:r>
        <m:r>
          <m:t>Q</m:t>
        </m:r>
        <m:r>
          <m:t>s</m:t>
        </m:r>
        <m:r>
          <m:t>a</m:t>
        </m:r>
        <m:r>
          <m:t>l</m:t>
        </m:r>
        <m:r>
          <m:t>e</m:t>
        </m:r>
        <m:r>
          <m:t>s</m:t>
        </m:r>
        <m:r>
          <m:t>i</m:t>
        </m:r>
        <m:r>
          <m:t>m</m:t>
        </m:r>
        <m:r>
          <m:t>p</m:t>
        </m:r>
        <m:r>
          <m:t>a</m:t>
        </m:r>
        <m:r>
          <m:t>c</m:t>
        </m:r>
        <m:r>
          <m:t>t</m:t>
        </m:r>
        <m:r>
          <m:rPr>
            <m:sty m:val="p"/>
          </m:rPr>
          <m:t>*</m:t>
        </m:r>
        <m:r>
          <m:rPr>
            <m:sty m:val="p"/>
          </m:rPr>
          <m:t>*</m:t>
        </m:r>
        <m:r>
          <m:t>t</m:t>
        </m:r>
        <m:r>
          <m:t>o</m:t>
        </m:r>
        <m:r>
          <m:t>t</m:t>
        </m:r>
        <m:r>
          <m:t>h</m:t>
        </m:r>
        <m:r>
          <m:t>e</m:t>
        </m:r>
        <m:r>
          <m:rPr>
            <m:sty m:val="p"/>
          </m:rPr>
          <m:t>*</m:t>
        </m:r>
        <m:r>
          <m:rPr>
            <m:sty m:val="p"/>
          </m:rPr>
          <m:t>*</m:t>
        </m:r>
      </m:oMath>
      <w:r>
        <w:rPr>
          <w:b/>
          <w:bCs/>
        </w:rPr>
        <w:t xml:space="preserve">250 million full-year impact</w:t>
      </w:r>
      <w:r>
        <w:t xml:space="preserve">. If that bridge is intact, it implies the bulk of the correction is concentrated in 2Q, with a more manageable residual drag later in the year. Any ambiguity around additional 3Q or 4Q destocking would be a negative.</w:t>
      </w:r>
    </w:p>
    <w:p>
      <w:pPr>
        <w:numPr>
          <w:ilvl w:val="0"/>
          <w:numId w:val="1003"/>
        </w:numPr>
      </w:pPr>
      <w:r>
        <w:rPr>
          <w:b/>
          <w:bCs/>
        </w:rPr>
        <w:t xml:space="preserve">What is the underlying rate of Pool sell-through?</w:t>
      </w:r>
      <w:r>
        <w:br/>
      </w:r>
      <w:r>
        <w:t xml:space="preserve">The distinction is crucial:</w:t>
      </w:r>
    </w:p>
    <w:p>
      <w:pPr>
        <w:pStyle w:val="Compact"/>
        <w:numPr>
          <w:ilvl w:val="1"/>
          <w:numId w:val="1004"/>
        </w:numPr>
      </w:pPr>
      <w:r>
        <w:rPr>
          <w:b/>
          <w:bCs/>
        </w:rPr>
        <w:t xml:space="preserve">Sell-in:</w:t>
      </w:r>
      <w:r>
        <w:t xml:space="preserve"> </w:t>
      </w:r>
      <w:r>
        <w:t xml:space="preserve">Pentair shipments to distribution.</w:t>
      </w:r>
    </w:p>
    <w:p>
      <w:pPr>
        <w:pStyle w:val="Compact"/>
        <w:numPr>
          <w:ilvl w:val="1"/>
          <w:numId w:val="1004"/>
        </w:numPr>
      </w:pPr>
      <w:r>
        <w:rPr>
          <w:b/>
          <w:bCs/>
        </w:rPr>
        <w:t xml:space="preserve">Sell-through:</w:t>
      </w:r>
      <w:r>
        <w:t xml:space="preserve"> </w:t>
      </w:r>
      <w:r>
        <w:t xml:space="preserve">distributors’ sales to dealers, service professionals, and end customers.</w:t>
      </w:r>
    </w:p>
    <w:p>
      <w:pPr>
        <w:numPr>
          <w:ilvl w:val="0"/>
          <w:numId w:val="1000"/>
        </w:numPr>
      </w:pPr>
      <w:r>
        <w:t xml:space="preserve">A recovery thesis requires stable-to-improving sell-through, even while Pentair’s own near-term sell-in is depressed. Evidence of weaker replacement demand, fewer remodels, or deteriorating service/aftermarket activity would undermine the “temporary inventory correction” narrative.</w:t>
      </w:r>
    </w:p>
    <w:p>
      <w:pPr>
        <w:numPr>
          <w:ilvl w:val="0"/>
          <w:numId w:val="1003"/>
        </w:numPr>
      </w:pPr>
      <w:r>
        <w:rPr>
          <w:b/>
          <w:bCs/>
        </w:rPr>
        <w:t xml:space="preserve">Can Pool margins recover as shipments normalize?</w:t>
      </w:r>
      <w:r>
        <w:br/>
      </w:r>
      <w:r>
        <w:t xml:space="preserve">The company estimates $105 million of Pool income pressure from $170 million of 2Q sales disruption—an unusually high decremental impact. Investors should focus on whether this reflects timing and channel-related accounting dynamics, temporary under-absorption, customer incentives, or more persistent pricing/mix pressure.</w:t>
      </w:r>
    </w:p>
    <w:p>
      <w:pPr>
        <w:numPr>
          <w:ilvl w:val="0"/>
          <w:numId w:val="1003"/>
        </w:numPr>
      </w:pPr>
      <w:r>
        <w:rPr>
          <w:b/>
          <w:bCs/>
        </w:rPr>
        <w:t xml:space="preserve">Is 2027 growth a forecast or merely an aspiration?</w:t>
      </w:r>
      <w:r>
        <w:br/>
      </w:r>
      <w:r>
        <w:t xml:space="preserve">Management has positioned 2026 as a reset year that prepares the channel for the 2027 pool season. The call needs to provide tangible support for that claim: clean channel inventory, product-cycle catalysts, easier comparisons, normalization in remodeling, automation adoption, and/or improved dealer engagement.</w:t>
      </w:r>
    </w:p>
    <w:bookmarkEnd w:id="11"/>
    <w:bookmarkEnd w:id="12"/>
    <w:bookmarkStart w:id="15" w:name="the-stabilizers-flow-and-water-solutions"/>
    <w:p>
      <w:pPr>
        <w:pStyle w:val="Heading2"/>
      </w:pPr>
      <w:r>
        <w:t xml:space="preserve">The stabilizers: Flow and Water Solutions</w:t>
      </w:r>
    </w:p>
    <w:p>
      <w:pPr>
        <w:pStyle w:val="FirstParagraph"/>
      </w:pPr>
      <w:r>
        <w:t xml:space="preserve">Pentair said</w:t>
      </w:r>
      <w:r>
        <w:t xml:space="preserve"> </w:t>
      </w:r>
      <w:r>
        <w:rPr>
          <w:b/>
          <w:bCs/>
        </w:rPr>
        <w:t xml:space="preserve">Flow</w:t>
      </w:r>
      <w:r>
        <w:t xml:space="preserve"> </w:t>
      </w:r>
      <w:r>
        <w:t xml:space="preserve">and</w:t>
      </w:r>
      <w:r>
        <w:t xml:space="preserve"> </w:t>
      </w:r>
      <w:r>
        <w:rPr>
          <w:b/>
          <w:bCs/>
        </w:rPr>
        <w:t xml:space="preserve">Water Solutions</w:t>
      </w:r>
      <w:r>
        <w:t xml:space="preserve">, along with corporate spending, are expected to perform roughly in line with prior 2Q and full-year expectations. This is the principal support for the argument that the issue is concentrated in Pool rather than a portfolio-wide demand breakdown.</w:t>
      </w:r>
    </w:p>
    <w:bookmarkStart w:id="13" w:name="flow"/>
    <w:p>
      <w:pPr>
        <w:pStyle w:val="Heading3"/>
      </w:pPr>
      <w:r>
        <w:t xml:space="preserve">Flow</w:t>
      </w:r>
    </w:p>
    <w:p>
      <w:pPr>
        <w:pStyle w:val="FirstParagraph"/>
      </w:pPr>
      <w:r>
        <w:t xml:space="preserve">Flow was the standout in 1Q:</w:t>
      </w:r>
    </w:p>
    <w:p>
      <w:pPr>
        <w:pStyle w:val="Compact"/>
        <w:numPr>
          <w:ilvl w:val="0"/>
          <w:numId w:val="1005"/>
        </w:numPr>
      </w:pPr>
      <w:r>
        <w:t xml:space="preserve">Sales rose</w:t>
      </w:r>
      <w:r>
        <w:t xml:space="preserve"> </w:t>
      </w:r>
      <w:r>
        <w:rPr>
          <w:b/>
          <w:bCs/>
        </w:rPr>
        <w:t xml:space="preserve">11%</w:t>
      </w:r>
      <w:r>
        <w:t xml:space="preserve"> </w:t>
      </w:r>
      <w:r>
        <w:t xml:space="preserve">year over year, aided by Hydra-Stop.</w:t>
      </w:r>
    </w:p>
    <w:p>
      <w:pPr>
        <w:pStyle w:val="Compact"/>
        <w:numPr>
          <w:ilvl w:val="0"/>
          <w:numId w:val="1005"/>
        </w:numPr>
      </w:pPr>
      <w:r>
        <w:t xml:space="preserve">Segment income rose</w:t>
      </w:r>
      <w:r>
        <w:t xml:space="preserve"> </w:t>
      </w:r>
      <w:r>
        <w:rPr>
          <w:b/>
          <w:bCs/>
        </w:rPr>
        <w:t xml:space="preserve">22%</w:t>
      </w:r>
      <w:r>
        <w:t xml:space="preserve">.</w:t>
      </w:r>
    </w:p>
    <w:p>
      <w:pPr>
        <w:pStyle w:val="Compact"/>
        <w:numPr>
          <w:ilvl w:val="0"/>
          <w:numId w:val="1005"/>
        </w:numPr>
      </w:pPr>
      <w:r>
        <w:t xml:space="preserve">Segment margin expanded</w:t>
      </w:r>
      <w:r>
        <w:t xml:space="preserve"> </w:t>
      </w:r>
      <w:r>
        <w:rPr>
          <w:b/>
          <w:bCs/>
        </w:rPr>
        <w:t xml:space="preserve">210 basis points</w:t>
      </w:r>
      <w:r>
        <w:t xml:space="preserve"> </w:t>
      </w:r>
      <w:r>
        <w:t xml:space="preserve">to</w:t>
      </w:r>
      <w:r>
        <w:t xml:space="preserve"> </w:t>
      </w:r>
      <w:r>
        <w:rPr>
          <w:b/>
          <w:bCs/>
        </w:rPr>
        <w:t xml:space="preserve">23.7%</w:t>
      </w:r>
      <w:r>
        <w:t xml:space="preserve">.</w:t>
      </w:r>
    </w:p>
    <w:p>
      <w:pPr>
        <w:pStyle w:val="FirstParagraph"/>
      </w:pPr>
      <w:r>
        <w:t xml:space="preserve">Management had cited targeted opportunities in commercial buildings, municipal water, industrial applications, and data centers. Investors should seek confirmation that these end markets remain supportive and that growth is not disproportionately acquisition-, pricing-, or foreign-exchange-driven.</w:t>
      </w:r>
    </w:p>
    <w:bookmarkEnd w:id="13"/>
    <w:bookmarkStart w:id="14" w:name="water-solutions"/>
    <w:p>
      <w:pPr>
        <w:pStyle w:val="Heading3"/>
      </w:pPr>
      <w:r>
        <w:t xml:space="preserve">Water Solutions</w:t>
      </w:r>
    </w:p>
    <w:p>
      <w:pPr>
        <w:pStyle w:val="FirstParagraph"/>
      </w:pPr>
      <w:r>
        <w:t xml:space="preserve">Water Solutions posted modestly lower 1Q sales but materially better profitability:</w:t>
      </w:r>
    </w:p>
    <w:p>
      <w:pPr>
        <w:pStyle w:val="Compact"/>
        <w:numPr>
          <w:ilvl w:val="0"/>
          <w:numId w:val="1006"/>
        </w:numPr>
      </w:pPr>
      <w:r>
        <w:t xml:space="preserve">Sales declined</w:t>
      </w:r>
      <w:r>
        <w:t xml:space="preserve"> </w:t>
      </w:r>
      <w:r>
        <w:rPr>
          <w:b/>
          <w:bCs/>
        </w:rPr>
        <w:t xml:space="preserve">1%</w:t>
      </w:r>
      <w:r>
        <w:t xml:space="preserve"> </w:t>
      </w:r>
      <w:r>
        <w:t xml:space="preserve">to $391 million.</w:t>
      </w:r>
    </w:p>
    <w:p>
      <w:pPr>
        <w:pStyle w:val="Compact"/>
        <w:numPr>
          <w:ilvl w:val="0"/>
          <w:numId w:val="1006"/>
        </w:numPr>
      </w:pPr>
      <w:r>
        <w:t xml:space="preserve">Segment income rose</w:t>
      </w:r>
      <w:r>
        <w:t xml:space="preserve"> </w:t>
      </w:r>
      <w:r>
        <w:rPr>
          <w:b/>
          <w:bCs/>
        </w:rPr>
        <w:t xml:space="preserve">6%</w:t>
      </w:r>
      <w:r>
        <w:t xml:space="preserve">.</w:t>
      </w:r>
    </w:p>
    <w:p>
      <w:pPr>
        <w:pStyle w:val="Compact"/>
        <w:numPr>
          <w:ilvl w:val="0"/>
          <w:numId w:val="1006"/>
        </w:numPr>
      </w:pPr>
      <w:r>
        <w:t xml:space="preserve">Margin improved</w:t>
      </w:r>
      <w:r>
        <w:t xml:space="preserve"> </w:t>
      </w:r>
      <w:r>
        <w:rPr>
          <w:b/>
          <w:bCs/>
        </w:rPr>
        <w:t xml:space="preserve">160 basis points</w:t>
      </w:r>
      <w:r>
        <w:t xml:space="preserve"> </w:t>
      </w:r>
      <w:r>
        <w:t xml:space="preserve">to</w:t>
      </w:r>
      <w:r>
        <w:t xml:space="preserve"> </w:t>
      </w:r>
      <w:r>
        <w:rPr>
          <w:b/>
          <w:bCs/>
        </w:rPr>
        <w:t xml:space="preserve">25.5%</w:t>
      </w:r>
      <w:r>
        <w:t xml:space="preserve">.</w:t>
      </w:r>
    </w:p>
    <w:p>
      <w:pPr>
        <w:pStyle w:val="FirstParagraph"/>
      </w:pPr>
      <w:r>
        <w:t xml:space="preserve">The segment benefited from productivity actions and a focus on higher-value channels, including commercial water, foodservice filtration, ice, and residential/pro channels. A stable update here would reinforce that Pentair still has self-help levers outside Pool.</w:t>
      </w:r>
    </w:p>
    <w:bookmarkEnd w:id="14"/>
    <w:bookmarkEnd w:id="15"/>
    <w:bookmarkStart w:id="18" w:name="Xcc7b7ba6436c2e5fd4ce46f6c4695676f0fd848"/>
    <w:p>
      <w:pPr>
        <w:pStyle w:val="Heading2"/>
      </w:pPr>
      <w:r>
        <w:t xml:space="preserve">Margins, productivity, and the quality of the guide</w:t>
      </w:r>
    </w:p>
    <w:p>
      <w:pPr>
        <w:pStyle w:val="FirstParagraph"/>
      </w:pPr>
      <w:r>
        <w:t xml:space="preserve">Before the preannouncement, Pentair had targeted about</w:t>
      </w:r>
      <w:r>
        <w:t xml:space="preserve"> </w:t>
      </w:r>
      <w:r>
        <w:rPr>
          <w:b/>
          <w:bCs/>
        </w:rPr>
        <w:t xml:space="preserve">$70 million of net productivity</w:t>
      </w:r>
      <w:r>
        <w:t xml:space="preserve"> </w:t>
      </w:r>
      <w:r>
        <w:t xml:space="preserve">for 2026, with price expected to offset tariff and inflation pressure. In the revised outlook, the company still expects approximately</w:t>
      </w:r>
      <w:r>
        <w:t xml:space="preserve"> </w:t>
      </w:r>
      <w:r>
        <w:rPr>
          <w:b/>
          <w:bCs/>
        </w:rPr>
        <w:t xml:space="preserve">25% adjusted operating margin in 2Q</w:t>
      </w:r>
      <w:r>
        <w:t xml:space="preserve"> </w:t>
      </w:r>
      <w:r>
        <w:t xml:space="preserve">and has maintained a relatively resilient adjusted EPS range given the magnitude of the sales cut.</w:t>
      </w:r>
    </w:p>
    <w:p>
      <w:pPr>
        <w:pStyle w:val="BodyText"/>
      </w:pPr>
      <w:r>
        <w:t xml:space="preserve">That resilience deserves scrutiny.</w:t>
      </w:r>
    </w:p>
    <w:bookmarkStart w:id="16" w:name="positive-interpretation"/>
    <w:p>
      <w:pPr>
        <w:pStyle w:val="Heading3"/>
      </w:pPr>
      <w:r>
        <w:t xml:space="preserve">Positive interpretation</w:t>
      </w:r>
    </w:p>
    <w:p>
      <w:pPr>
        <w:pStyle w:val="Compact"/>
        <w:numPr>
          <w:ilvl w:val="0"/>
          <w:numId w:val="1007"/>
        </w:numPr>
      </w:pPr>
      <w:r>
        <w:t xml:space="preserve">Flow and Water Solutions are holding up.</w:t>
      </w:r>
    </w:p>
    <w:p>
      <w:pPr>
        <w:pStyle w:val="Compact"/>
        <w:numPr>
          <w:ilvl w:val="0"/>
          <w:numId w:val="1007"/>
        </w:numPr>
      </w:pPr>
      <w:r>
        <w:t xml:space="preserve">Pentair’s transformation program, 80/20 customer/product focus, and structural-cost actions are providing a real buffer.</w:t>
      </w:r>
    </w:p>
    <w:p>
      <w:pPr>
        <w:pStyle w:val="Compact"/>
        <w:numPr>
          <w:ilvl w:val="0"/>
          <w:numId w:val="1007"/>
        </w:numPr>
      </w:pPr>
      <w:r>
        <w:t xml:space="preserve">IEEPA refunds partly offset tariff costs.</w:t>
      </w:r>
    </w:p>
    <w:p>
      <w:pPr>
        <w:pStyle w:val="Compact"/>
        <w:numPr>
          <w:ilvl w:val="0"/>
          <w:numId w:val="1007"/>
        </w:numPr>
      </w:pPr>
      <w:r>
        <w:t xml:space="preserve">The company can protect margins through disciplined pricing and operating actions despite lower revenue.</w:t>
      </w:r>
    </w:p>
    <w:bookmarkEnd w:id="16"/>
    <w:bookmarkStart w:id="17" w:name="more-cautious-interpretation"/>
    <w:p>
      <w:pPr>
        <w:pStyle w:val="Heading3"/>
      </w:pPr>
      <w:r>
        <w:t xml:space="preserve">More cautious interpretation</w:t>
      </w:r>
    </w:p>
    <w:p>
      <w:pPr>
        <w:pStyle w:val="Compact"/>
        <w:numPr>
          <w:ilvl w:val="0"/>
          <w:numId w:val="1008"/>
        </w:numPr>
      </w:pPr>
      <w:r>
        <w:t xml:space="preserve">The tariff refund is a non-recurring benefit, not operational improvement.</w:t>
      </w:r>
    </w:p>
    <w:p>
      <w:pPr>
        <w:pStyle w:val="Compact"/>
        <w:numPr>
          <w:ilvl w:val="0"/>
          <w:numId w:val="1008"/>
        </w:numPr>
      </w:pPr>
      <w:r>
        <w:t xml:space="preserve">A lower-revenue environment creates risk that fixed-cost absorption and pricing become more difficult.</w:t>
      </w:r>
    </w:p>
    <w:p>
      <w:pPr>
        <w:pStyle w:val="Compact"/>
        <w:numPr>
          <w:ilvl w:val="0"/>
          <w:numId w:val="1008"/>
        </w:numPr>
      </w:pPr>
      <w:r>
        <w:t xml:space="preserve">Pool is the portfolio’s highest-margin business, so its revenue loss may pressure the consolidated earnings mix beyond 2026.</w:t>
      </w:r>
    </w:p>
    <w:p>
      <w:pPr>
        <w:pStyle w:val="Compact"/>
        <w:numPr>
          <w:ilvl w:val="0"/>
          <w:numId w:val="1008"/>
        </w:numPr>
      </w:pPr>
      <w:r>
        <w:t xml:space="preserve">Productivity targets may become more difficult to sustain if underlying volumes weaken outside Pool.</w:t>
      </w:r>
    </w:p>
    <w:p>
      <w:pPr>
        <w:pStyle w:val="FirstParagraph"/>
      </w:pPr>
      <w:r>
        <w:t xml:space="preserve">The most useful disclosure would be a clean bridge separating:</w:t>
      </w:r>
      <w:r>
        <w:t xml:space="preserve"> </w:t>
      </w:r>
      <w:r>
        <w:rPr>
          <w:b/>
          <w:bCs/>
        </w:rPr>
        <w:t xml:space="preserve">Pool inventory effects, tariff refunds, price/cost, productivity, mix, and underlying volume.</w:t>
      </w:r>
    </w:p>
    <w:bookmarkEnd w:id="17"/>
    <w:bookmarkEnd w:id="18"/>
    <w:bookmarkStart w:id="19" w:name="X10ab51fcb0539058359ba4b7ecccfd2c7c2f2fd"/>
    <w:p>
      <w:pPr>
        <w:pStyle w:val="Heading2"/>
      </w:pPr>
      <w:r>
        <w:t xml:space="preserve">CFO transition adds a governance and execution variable</w:t>
      </w:r>
    </w:p>
    <w:p>
      <w:pPr>
        <w:pStyle w:val="FirstParagraph"/>
      </w:pPr>
      <w:r>
        <w:t xml:space="preserve">The preannouncement also disclosed that CFO</w:t>
      </w:r>
      <w:r>
        <w:t xml:space="preserve"> </w:t>
      </w:r>
      <w:r>
        <w:rPr>
          <w:b/>
          <w:bCs/>
        </w:rPr>
        <w:t xml:space="preserve">Nicholas Brazis</w:t>
      </w:r>
      <w:r>
        <w:t xml:space="preserve"> </w:t>
      </w:r>
      <w:r>
        <w:t xml:space="preserve">departed on</w:t>
      </w:r>
      <w:r>
        <w:t xml:space="preserve"> </w:t>
      </w:r>
      <w:r>
        <w:rPr>
          <w:b/>
          <w:bCs/>
        </w:rPr>
        <w:t xml:space="preserve">July 10</w:t>
      </w:r>
      <w:r>
        <w:t xml:space="preserve"> </w:t>
      </w:r>
      <w:r>
        <w:t xml:space="preserve">to join a private company. Former Pentair CFO</w:t>
      </w:r>
      <w:r>
        <w:t xml:space="preserve"> </w:t>
      </w:r>
      <w:r>
        <w:rPr>
          <w:b/>
          <w:bCs/>
        </w:rPr>
        <w:t xml:space="preserve">Bob Fishman</w:t>
      </w:r>
      <w:r>
        <w:t xml:space="preserve"> </w:t>
      </w:r>
      <w:r>
        <w:t xml:space="preserve">returned as interim CFO while the company conducts a search.</w:t>
      </w:r>
    </w:p>
    <w:p>
      <w:pPr>
        <w:pStyle w:val="BodyText"/>
      </w:pPr>
      <w:r>
        <w:t xml:space="preserve">The transition does not inherently change the operating outlook, and Fishman’s prior familiarity with Pentair should limit near-term disruption. Still, the coincidence of a CFO departure, a major guidance reduction, and a sharp deterioration in Pool inventory dynamics raises the bar for transparency on the call.</w:t>
      </w:r>
    </w:p>
    <w:p>
      <w:pPr>
        <w:pStyle w:val="BodyText"/>
      </w:pPr>
      <w:r>
        <w:t xml:space="preserve">Investors will want clarity on:</w:t>
      </w:r>
    </w:p>
    <w:p>
      <w:pPr>
        <w:pStyle w:val="Compact"/>
        <w:numPr>
          <w:ilvl w:val="0"/>
          <w:numId w:val="1009"/>
        </w:numPr>
      </w:pPr>
      <w:r>
        <w:t xml:space="preserve">Whether there were any internal-control, forecasting, or channel-data issues behind the miss.</w:t>
      </w:r>
    </w:p>
    <w:p>
      <w:pPr>
        <w:pStyle w:val="Compact"/>
        <w:numPr>
          <w:ilvl w:val="0"/>
          <w:numId w:val="1009"/>
        </w:numPr>
      </w:pPr>
      <w:r>
        <w:t xml:space="preserve">How management’s inventory visibility failed to capture the severity of the correction sooner.</w:t>
      </w:r>
    </w:p>
    <w:p>
      <w:pPr>
        <w:pStyle w:val="Compact"/>
        <w:numPr>
          <w:ilvl w:val="0"/>
          <w:numId w:val="1009"/>
        </w:numPr>
      </w:pPr>
      <w:r>
        <w:t xml:space="preserve">Whether the revised guide reflects a sufficiently conservative inventory assumption.</w:t>
      </w:r>
    </w:p>
    <w:p>
      <w:pPr>
        <w:pStyle w:val="Compact"/>
        <w:numPr>
          <w:ilvl w:val="0"/>
          <w:numId w:val="1009"/>
        </w:numPr>
      </w:pPr>
      <w:r>
        <w:t xml:space="preserve">The expected timing and criteria for appointing a permanent CFO.</w:t>
      </w:r>
    </w:p>
    <w:bookmarkEnd w:id="19"/>
    <w:bookmarkStart w:id="20" w:name="Xe367dfec41b637edf4b41d57e1cea186fb7b994"/>
    <w:p>
      <w:pPr>
        <w:pStyle w:val="Heading2"/>
      </w:pPr>
      <w:r>
        <w:t xml:space="preserve">Balance sheet and capital allocation: still a support, but buybacks will be scrutinized</w:t>
      </w:r>
    </w:p>
    <w:p>
      <w:pPr>
        <w:pStyle w:val="FirstParagraph"/>
      </w:pPr>
      <w:r>
        <w:t xml:space="preserve">Pentair entered the quarter with a reasonably flexible balance sheet. At March 31, it reported net leverage of roughly</w:t>
      </w:r>
      <w:r>
        <w:t xml:space="preserve"> </w:t>
      </w:r>
      <w:r>
        <w:rPr>
          <w:b/>
          <w:bCs/>
        </w:rPr>
        <w:t xml:space="preserve">1.7x</w:t>
      </w:r>
      <w:r>
        <w:t xml:space="preserve"> </w:t>
      </w:r>
      <w:r>
        <w:t xml:space="preserve">and had repurchased</w:t>
      </w:r>
      <w:r>
        <w:t xml:space="preserve"> </w:t>
      </w:r>
      <m:oMath>
        <m:r>
          <m:t>200</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rPr>
            <m:sty m:val="p"/>
          </m:rPr>
          <m:t>.</m:t>
        </m:r>
        <m:r>
          <m:t>I</m:t>
        </m:r>
        <m:r>
          <m:t>t</m:t>
        </m:r>
        <m:r>
          <m:t>t</m:t>
        </m:r>
        <m:r>
          <m:t>h</m:t>
        </m:r>
        <m:r>
          <m:t>e</m:t>
        </m:r>
        <m:r>
          <m:t>n</m:t>
        </m:r>
        <m:r>
          <m:t>r</m:t>
        </m:r>
        <m:r>
          <m:t>e</m:t>
        </m:r>
        <m:r>
          <m:t>p</m:t>
        </m:r>
        <m:r>
          <m:t>u</m:t>
        </m:r>
        <m:r>
          <m:t>r</m:t>
        </m:r>
        <m:r>
          <m:t>c</m:t>
        </m:r>
        <m:r>
          <m:t>h</m:t>
        </m:r>
        <m:r>
          <m:t>a</m:t>
        </m:r>
        <m:r>
          <m:t>s</m:t>
        </m:r>
        <m:r>
          <m:t>e</m:t>
        </m:r>
        <m:r>
          <m:t>d</m:t>
        </m:r>
        <m:r>
          <m:t>a</m:t>
        </m:r>
        <m:r>
          <m:t>n</m:t>
        </m:r>
        <m:r>
          <m:t>o</m:t>
        </m:r>
        <m:r>
          <m:t>t</m:t>
        </m:r>
        <m:r>
          <m:t>h</m:t>
        </m:r>
        <m:r>
          <m:t>e</m:t>
        </m:r>
        <m:r>
          <m:t>r</m:t>
        </m:r>
        <m:r>
          <m:rPr>
            <m:sty m:val="p"/>
          </m:rPr>
          <m:t>*</m:t>
        </m:r>
        <m:r>
          <m:rPr>
            <m:sty m:val="p"/>
          </m:rPr>
          <m:t>*</m:t>
        </m:r>
      </m:oMath>
      <w:r>
        <w:rPr>
          <w:b/>
          <w:bCs/>
        </w:rPr>
        <w:t xml:space="preserve">150 million</w:t>
      </w:r>
      <w:r>
        <w:t xml:space="preserve"> </w:t>
      </w:r>
      <w:r>
        <w:t xml:space="preserve">in 2Q, or about</w:t>
      </w:r>
      <w:r>
        <w:t xml:space="preserve"> </w:t>
      </w:r>
      <w:r>
        <w:rPr>
          <w:b/>
          <w:bCs/>
        </w:rPr>
        <w:t xml:space="preserve">2.0 million shares</w:t>
      </w:r>
      <w:r>
        <w:t xml:space="preserve">, despite the emerging operating deterioration.</w:t>
      </w:r>
    </w:p>
    <w:p>
      <w:pPr>
        <w:pStyle w:val="BodyText"/>
      </w:pPr>
      <w:r>
        <w:t xml:space="preserve">The company continues to emphasize strong free-cash-flow conversion, dividends, debt capacity, and share repurchases. That can support the equity if the issue is truly a one-time channel reset. However, investors may question the timing of buybacks if cash flow, working capital, or the Pool recovery prove weaker than expected.</w:t>
      </w:r>
    </w:p>
    <w:bookmarkEnd w:id="20"/>
    <w:bookmarkStart w:id="23" w:name="what-would-be-bullish-versus-bearish"/>
    <w:p>
      <w:pPr>
        <w:pStyle w:val="Heading2"/>
      </w:pPr>
      <w:r>
        <w:t xml:space="preserve">What would be bullish versus bearish</w:t>
      </w:r>
    </w:p>
    <w:bookmarkStart w:id="21" w:name="bullish-read-through"/>
    <w:p>
      <w:pPr>
        <w:pStyle w:val="Heading3"/>
      </w:pPr>
      <w:r>
        <w:t xml:space="preserve">Bullish read-through</w:t>
      </w:r>
    </w:p>
    <w:p>
      <w:pPr>
        <w:pStyle w:val="Compact"/>
        <w:numPr>
          <w:ilvl w:val="0"/>
          <w:numId w:val="1010"/>
        </w:numPr>
      </w:pPr>
      <w:r>
        <w:t xml:space="preserve">Management clearly quantifies remaining Pool inventory exposure and keeps the full-year impact near the already disclosed</w:t>
      </w:r>
      <w:r>
        <w:t xml:space="preserve"> </w:t>
      </w:r>
      <w:r>
        <w:rPr>
          <w:b/>
          <w:bCs/>
        </w:rPr>
        <w:t xml:space="preserve">$250 million of sales / $155 million of segment income</w:t>
      </w:r>
      <w:r>
        <w:t xml:space="preserve">.</w:t>
      </w:r>
    </w:p>
    <w:p>
      <w:pPr>
        <w:pStyle w:val="Compact"/>
        <w:numPr>
          <w:ilvl w:val="0"/>
          <w:numId w:val="1010"/>
        </w:numPr>
      </w:pPr>
      <w:r>
        <w:t xml:space="preserve">Pool sell-through is stable, especially in replacement and service categories.</w:t>
      </w:r>
    </w:p>
    <w:p>
      <w:pPr>
        <w:pStyle w:val="Compact"/>
        <w:numPr>
          <w:ilvl w:val="0"/>
          <w:numId w:val="1010"/>
        </w:numPr>
      </w:pPr>
      <w:r>
        <w:t xml:space="preserve">Flow and Water Solutions reaffirm their outlooks with healthy productivity and margin performance.</w:t>
      </w:r>
    </w:p>
    <w:p>
      <w:pPr>
        <w:pStyle w:val="Compact"/>
        <w:numPr>
          <w:ilvl w:val="0"/>
          <w:numId w:val="1010"/>
        </w:numPr>
      </w:pPr>
      <w:r>
        <w:t xml:space="preserve">The company demonstrates that 2026 free cash flow remains solid despite the channel reset.</w:t>
      </w:r>
    </w:p>
    <w:p>
      <w:pPr>
        <w:pStyle w:val="Compact"/>
        <w:numPr>
          <w:ilvl w:val="0"/>
          <w:numId w:val="1010"/>
        </w:numPr>
      </w:pPr>
      <w:r>
        <w:t xml:space="preserve">Management gives credible evidence that channel inventory will be positioned appropriately for the 2027 season.</w:t>
      </w:r>
    </w:p>
    <w:bookmarkEnd w:id="21"/>
    <w:bookmarkStart w:id="22" w:name="bearish-read-through"/>
    <w:p>
      <w:pPr>
        <w:pStyle w:val="Heading3"/>
      </w:pPr>
      <w:r>
        <w:t xml:space="preserve">Bearish read-through</w:t>
      </w:r>
    </w:p>
    <w:p>
      <w:pPr>
        <w:pStyle w:val="Compact"/>
        <w:numPr>
          <w:ilvl w:val="0"/>
          <w:numId w:val="1011"/>
        </w:numPr>
      </w:pPr>
      <w:r>
        <w:t xml:space="preserve">Management signals that Pool demand—not merely inventory—is weakening, especially in remodel, upgrade, or aftermarket activity.</w:t>
      </w:r>
    </w:p>
    <w:p>
      <w:pPr>
        <w:pStyle w:val="Compact"/>
        <w:numPr>
          <w:ilvl w:val="0"/>
          <w:numId w:val="1011"/>
        </w:numPr>
      </w:pPr>
      <w:r>
        <w:t xml:space="preserve">The full-year guidance proves to contain further unstated 3Q downside or assumes an aggressive 4Q recovery.</w:t>
      </w:r>
    </w:p>
    <w:p>
      <w:pPr>
        <w:pStyle w:val="Compact"/>
        <w:numPr>
          <w:ilvl w:val="0"/>
          <w:numId w:val="1011"/>
        </w:numPr>
      </w:pPr>
      <w:r>
        <w:t xml:space="preserve">Pool margin pressure extends beyond the inventory adjustment.</w:t>
      </w:r>
    </w:p>
    <w:p>
      <w:pPr>
        <w:pStyle w:val="Compact"/>
        <w:numPr>
          <w:ilvl w:val="0"/>
          <w:numId w:val="1011"/>
        </w:numPr>
      </w:pPr>
      <w:r>
        <w:t xml:space="preserve">Flow or Water Solutions begin to show broader housing, commercial, industrial, tariff, or inflation-related weakness.</w:t>
      </w:r>
    </w:p>
    <w:p>
      <w:pPr>
        <w:pStyle w:val="Compact"/>
        <w:numPr>
          <w:ilvl w:val="0"/>
          <w:numId w:val="1011"/>
        </w:numPr>
      </w:pPr>
      <w:r>
        <w:t xml:space="preserve">Explanations of the inventory miss are vague, particularly given the CFO transition.</w:t>
      </w:r>
    </w:p>
    <w:bookmarkEnd w:id="22"/>
    <w:bookmarkEnd w:id="23"/>
    <w:bookmarkStart w:id="24" w:name="bottom-line"/>
    <w:p>
      <w:pPr>
        <w:pStyle w:val="Heading2"/>
      </w:pPr>
      <w:r>
        <w:t xml:space="preserve">Bottom line</w:t>
      </w:r>
    </w:p>
    <w:p>
      <w:pPr>
        <w:pStyle w:val="FirstParagraph"/>
      </w:pPr>
      <w:r>
        <w:t xml:space="preserve">Pentair’s 2Q26 report is effectively a</w:t>
      </w:r>
      <w:r>
        <w:t xml:space="preserve"> </w:t>
      </w:r>
      <w:r>
        <w:rPr>
          <w:b/>
          <w:bCs/>
        </w:rPr>
        <w:t xml:space="preserve">post-preannouncement credibility test</w:t>
      </w:r>
      <w:r>
        <w:t xml:space="preserve">. The reported sales and EPS miss should not surprise investors; the July 14 disclosure has already reset expectations. The investable issue is whether Pool destocking is a finite 2026 shipment correction while end-market demand remains stable—or whether it marks a deeper deterioration in a high-margin franchise that had been expected to drive growth.</w:t>
      </w:r>
    </w:p>
    <w:p>
      <w:pPr>
        <w:pStyle w:val="BodyText"/>
      </w:pPr>
      <w:r>
        <w:t xml:space="preserve">A constructive outcome requires management to demonstrate three things:</w:t>
      </w:r>
      <w:r>
        <w:t xml:space="preserve"> </w:t>
      </w:r>
      <w:r>
        <w:rPr>
          <w:b/>
          <w:bCs/>
        </w:rPr>
        <w:t xml:space="preserve">(1) the inventory correction is now well quantified, (2) Pool sell-through is stable enough to support a 2027 normalization, and (3) Flow and Water Solutions can continue offsetting cyclicality through growth initiatives and productivity.</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2026-07-28T00:31:20Z</dcterms:created>
  <dcterms:modified xsi:type="dcterms:W3CDTF">2026-07-28T00:31:20Z</dcterms:modified>
</cp:coreProperties>
</file>

<file path=docProps/custom.xml><?xml version="1.0" encoding="utf-8"?>
<Properties xmlns="http://schemas.openxmlformats.org/officeDocument/2006/custom-properties" xmlns:vt="http://schemas.openxmlformats.org/officeDocument/2006/docPropsVTypes"/>
</file>