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nr-earnings-predictions--2026-07-28"/>
    <w:p>
      <w:pPr>
        <w:pStyle w:val="Heading1"/>
      </w:pPr>
      <w:r>
        <w:t xml:space="preserve">PNR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Pool Segment Sales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215</m:t>
              </m:r>
              <m:r>
                <m:rPr>
                  <m:sty m:val="p"/>
                </m:rPr>
                <m:t>−</m:t>
              </m:r>
              <m:r>
                <m:t>225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 </m:t>
              </m:r>
            </m:oMath>
            <w:r>
              <w:t xml:space="preserve">292M (Visible Alpha, Jul 27, 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EPS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~$1.12-1.15 vs. cons. $1.206 (Visible Alpha, Jul 27, 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~$930M (pre-announced Jul 14) vs. cons. $979M (Visible Alpha, Jul 27, 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Adj. EPS (FY2026)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midpoint ~$4.70 (reaffirm</w:t>
            </w:r>
            <w:r>
              <w:t xml:space="preserve"> </w:t>
            </w:r>
            <m:oMath>
              <m:r>
                <m:t>4.60</m:t>
              </m:r>
              <m:r>
                <m:rPr>
                  <m:sty m:val="p"/>
                </m:rPr>
                <m:t>−</m:t>
              </m:r>
            </m:oMath>
            <w:r>
              <w:t xml:space="preserve">4.80 from Jul 14 pre-ann.) vs. cons. $4.836 (Visible Alpha, Jul 27, 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Net Sales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midpoint ~$3.99B (reaffirm -4% to -7% from Jul 14 pre-ann.) vs. cons. $4.017B (Visible Alpha, Jul 27,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Adj. EPS (Q3 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~$1.05-1.10 vs. cons.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Pool Sell-In Commentary (Q3 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~$80M remaining headwind flagged; pool volume recovery framed as 2027 event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-5.0%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-8.0%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Q3 guide below consensus triggers sell-side estimate cuts over 5 days; mirrors Q1 2026 analog pattern but partially cushioned by severe pre-print underperformance already absorbed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2026-07-30T17:42:16Z</dcterms:created>
  <dcterms:modified xsi:type="dcterms:W3CDTF">2026-07-30T17:42:16Z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