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Pentair plc (PNR)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Pentair plc (PNR)</w:t>
            </w:r>
          </w:p>
        </w:tc>
      </w:tr>
      <w:tr>
        <w:tc>
          <w:tcPr>
            <w:tcW w:type="dxa" w:w="4320"/>
          </w:tcPr>
          <w:p>
            <w:r>
              <w:rPr>
                <w:rFonts w:ascii="Calibri" w:hAnsi="Calibri"/>
                <w:b/>
                <w:sz w:val="22"/>
              </w:rPr>
              <w:t>Upcoming Earnings</w:t>
            </w:r>
          </w:p>
        </w:tc>
        <w:tc>
          <w:tcPr>
            <w:tcW w:type="dxa" w:w="4320"/>
          </w:tcPr>
          <w:p>
            <w:r>
              <w:rPr>
                <w:rFonts w:ascii="Calibri" w:hAnsi="Calibri"/>
                <w:sz w:val="22"/>
              </w:rPr>
              <w:t>July 28, 2026 (Q2 2026)</w:t>
            </w:r>
          </w:p>
        </w:tc>
      </w:tr>
      <w:tr>
        <w:tc>
          <w:tcPr>
            <w:tcW w:type="dxa" w:w="4320"/>
          </w:tcPr>
          <w:p>
            <w:r>
              <w:rPr>
                <w:rFonts w:ascii="Calibri" w:hAnsi="Calibri"/>
                <w:b/>
                <w:sz w:val="22"/>
              </w:rPr>
              <w:t>Prepared</w:t>
            </w:r>
          </w:p>
        </w:tc>
        <w:tc>
          <w:tcPr>
            <w:tcW w:type="dxa" w:w="4320"/>
          </w:tcPr>
          <w:p>
            <w:r>
              <w:rPr>
                <w:rFonts w:ascii="Calibri" w:hAnsi="Calibri"/>
                <w:sz w:val="22"/>
              </w:rPr>
              <w:t>July 27, 2026</w:t>
            </w:r>
          </w:p>
        </w:tc>
      </w:tr>
      <w:tr>
        <w:tc>
          <w:tcPr>
            <w:tcW w:type="dxa" w:w="4320"/>
          </w:tcPr>
          <w:p>
            <w:r>
              <w:rPr>
                <w:rFonts w:ascii="Calibri" w:hAnsi="Calibri"/>
                <w:b/>
                <w:sz w:val="22"/>
              </w:rPr>
              <w:t>Sector ETF Used</w:t>
            </w:r>
          </w:p>
        </w:tc>
        <w:tc>
          <w:tcPr>
            <w:tcW w:type="dxa" w:w="4320"/>
          </w:tcPr>
          <w:p>
            <w:r>
              <w:rPr>
                <w:rFonts w:ascii="Calibri" w:hAnsi="Calibri"/>
                <w:sz w:val="22"/>
              </w:rPr>
              <w:t>PHO — Invesco Water Resources ETF (water/industrial sub-sector)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bar is now definitively set — PNR pre-announced Q2 on July 14, so the formal print is largely a known quantity; the real focus is on management’s explanation of the pool channel destocking severity, the H2 recovery path, and whether the new interim CFO (Bob Fishman) provides any incremental confidence on the 2027 setup.</w:t>
      </w:r>
    </w:p>
    <w:p>
      <w:r>
        <w:rPr>
          <w:rFonts w:ascii="Calibri" w:hAnsi="Calibri"/>
          <w:color w:val="525866"/>
          <w:sz w:val="22"/>
        </w:rPr>
        <w:t xml:space="preserve">Pentair heads into its Q2 2026 formal earnings call on July 28 with the numbers already pre-announced — </w:t>
      </w:r>
      <w:r>
        <w:rPr>
          <w:rFonts w:ascii="Calibri" w:hAnsi="Calibri"/>
          <w:b/>
          <w:color w:val="525866"/>
          <w:sz w:val="22"/>
        </w:rPr>
        <w:t>adjusted EPS of ~$1.12 vs. prior guidance of $1.47–$1.50</w:t>
      </w:r>
      <w:r>
        <w:rPr>
          <w:rFonts w:ascii="Calibri" w:hAnsi="Calibri"/>
          <w:color w:val="525866"/>
          <w:sz w:val="22"/>
        </w:rPr>
        <w:t xml:space="preserve">, and </w:t>
      </w:r>
      <w:r>
        <w:rPr>
          <w:rFonts w:ascii="Calibri" w:hAnsi="Calibri"/>
          <w:b/>
          <w:color w:val="525866"/>
          <w:sz w:val="22"/>
        </w:rPr>
        <w:t>revenue of ~$930M vs. guidance of +1% (implying ~$1.13B)</w:t>
      </w:r>
      <w:r>
        <w:rPr>
          <w:rFonts w:ascii="Calibri" w:hAnsi="Calibri"/>
          <w:color w:val="525866"/>
          <w:sz w:val="22"/>
        </w:rPr>
        <w:t xml:space="preserve">, both driven by a severe pool channel destocking that management estimates cost ~$170M in Pool segment sales and ~$105M in Pool segment income in the quarter alone. The bar is therefore mechanically cleared, but the market’s real question is whether the destocking is truly a one-quarter event or bleeds further into Q3, and whether the </w:t>
      </w:r>
      <w:r>
        <w:rPr>
          <w:rFonts w:ascii="Calibri" w:hAnsi="Calibri"/>
          <w:b/>
          <w:color w:val="525866"/>
          <w:sz w:val="22"/>
        </w:rPr>
        <w:t>revised FY2026 adjusted EPS guide of $4.60–$4.80 (vs. prior $5.30–$5.40)</w:t>
      </w:r>
      <w:r>
        <w:rPr>
          <w:rFonts w:ascii="Calibri" w:hAnsi="Calibri"/>
          <w:color w:val="525866"/>
          <w:sz w:val="22"/>
        </w:rPr>
        <w:t xml:space="preserve"> is itself a conservative floor or still at risk. Flow and Water Solutions are tracking in line with prior guidance, which provides some portfolio balance, but Pool’s outsized profit contribution (~33% segment ROS) means the drag is disproportionate to its revenue weight. The </w:t>
      </w:r>
      <w:r>
        <w:rPr>
          <w:rFonts w:ascii="Calibri" w:hAnsi="Calibri"/>
          <w:b/>
          <w:color w:val="525866"/>
          <w:sz w:val="22"/>
        </w:rPr>
        <w:t>CFO transition</w:t>
      </w:r>
      <w:r>
        <w:rPr>
          <w:rFonts w:ascii="Calibri" w:hAnsi="Calibri"/>
          <w:color w:val="525866"/>
          <w:sz w:val="22"/>
        </w:rPr>
        <w:t xml:space="preserve"> — Nick Brazis departed July 10 and former CFO Bob Fishman stepped in as interim — adds an additional layer of uncertainty around capital allocation messaging and investor confidence. The wildcard is whether management provides any early read on </w:t>
      </w:r>
      <w:r>
        <w:rPr>
          <w:rFonts w:ascii="Calibri" w:hAnsi="Calibri"/>
          <w:b/>
          <w:color w:val="525866"/>
          <w:sz w:val="22"/>
        </w:rPr>
        <w:t>2027 pool sell-in dynamics</w:t>
      </w:r>
      <w:r>
        <w:rPr>
          <w:rFonts w:ascii="Calibri" w:hAnsi="Calibri"/>
          <w:color w:val="525866"/>
          <w:sz w:val="22"/>
        </w:rPr>
        <w:t xml:space="preserve"> or signals that channel inventory normalization is already underway, which could be the single biggest positive catalyst on the call.</w:t>
      </w:r>
    </w:p>
    <w:tbl>
      <w:tblPr>
        <w:tblStyle w:val="TableGrid"/>
        <w:tblW w:type="auto" w:w="0"/>
        <w:tblLook w:firstColumn="1" w:firstRow="1" w:lastColumn="0" w:lastRow="0" w:noHBand="0" w:noVBand="1" w:val="04A0"/>
      </w:tblPr>
      <w:tblGrid>
        <w:gridCol w:w="4320"/>
        <w:gridCol w:w="4320"/>
      </w:tblGrid>
      <w:tr>
        <w:tc>
          <w:tcPr>
            <w:tcW w:type="dxa" w:w="4320"/>
            <w:shd w:val="clear" w:color="auto" w:fill="3B4259"/>
          </w:tcPr>
          <w:p>
            <w:r>
              <w:rPr>
                <w:rFonts w:ascii="Calibri" w:hAnsi="Calibri"/>
                <w:b/>
                <w:color w:val="FFFFFF"/>
                <w:sz w:val="22"/>
              </w:rPr>
              <w:t>Dimension</w:t>
            </w:r>
          </w:p>
        </w:tc>
        <w:tc>
          <w:tcPr>
            <w:tcW w:type="dxa" w:w="4320"/>
            <w:shd w:val="clear" w:color="auto" w:fill="3B4259"/>
          </w:tcPr>
          <w:p>
            <w:r>
              <w:rPr>
                <w:rFonts w:ascii="Calibri" w:hAnsi="Calibri"/>
                <w:b/>
                <w:color w:val="FFFFFF"/>
                <w:sz w:val="22"/>
              </w:rPr>
              <w:t>Assessment</w:t>
            </w:r>
          </w:p>
        </w:tc>
      </w:tr>
      <w:tr>
        <w:tc>
          <w:tcPr>
            <w:tcW w:type="dxa" w:w="4320"/>
          </w:tcPr>
          <w:p>
            <w:r>
              <w:rPr>
                <w:rFonts w:ascii="Calibri" w:hAnsi="Calibri"/>
                <w:b/>
                <w:sz w:val="22"/>
              </w:rPr>
              <w:t>Bar</w:t>
            </w:r>
          </w:p>
        </w:tc>
        <w:tc>
          <w:tcPr>
            <w:tcW w:type="dxa" w:w="4320"/>
          </w:tcPr>
          <w:p>
            <w:r>
              <w:rPr>
                <w:rFonts w:ascii="Calibri" w:hAnsi="Calibri"/>
                <w:sz w:val="22"/>
              </w:rPr>
              <w:t>Mechanically cleared given the July 14 pre-announcement; adjusted EPS consensus has reset to ~$1.21 (latest VA) vs. pre-announced ~$1.12, suggesting the street may be modeling some upside vs. the preliminary figure.</w:t>
            </w:r>
          </w:p>
        </w:tc>
      </w:tr>
      <w:tr>
        <w:tc>
          <w:tcPr>
            <w:tcW w:type="dxa" w:w="4320"/>
          </w:tcPr>
          <w:p>
            <w:r>
              <w:rPr>
                <w:rFonts w:ascii="Calibri" w:hAnsi="Calibri"/>
                <w:b/>
                <w:sz w:val="22"/>
              </w:rPr>
              <w:t>Guidance / Tone</w:t>
            </w:r>
          </w:p>
        </w:tc>
        <w:tc>
          <w:tcPr>
            <w:tcW w:type="dxa" w:w="4320"/>
          </w:tcPr>
          <w:p>
            <w:r>
              <w:rPr>
                <w:rFonts w:ascii="Calibri" w:hAnsi="Calibri"/>
                <w:sz w:val="22"/>
              </w:rPr>
              <w:t>Tone has shifted sharply negative — management explicitly flagged “more pronounced inventory realignment than previously estimated” and “worsening business conditions including higher interest rates and inflation.” The CFO departure adds further uncertainty.</w:t>
            </w:r>
          </w:p>
        </w:tc>
      </w:tr>
      <w:tr>
        <w:tc>
          <w:tcPr>
            <w:tcW w:type="dxa" w:w="4320"/>
          </w:tcPr>
          <w:p>
            <w:r>
              <w:rPr>
                <w:rFonts w:ascii="Calibri" w:hAnsi="Calibri"/>
                <w:b/>
                <w:sz w:val="22"/>
              </w:rPr>
              <w:t>Estimate Trajectory</w:t>
            </w:r>
          </w:p>
        </w:tc>
        <w:tc>
          <w:tcPr>
            <w:tcW w:type="dxa" w:w="4320"/>
          </w:tcPr>
          <w:p>
            <w:r>
              <w:rPr>
                <w:rFonts w:ascii="Calibri" w:hAnsi="Calibri"/>
                <w:sz w:val="22"/>
              </w:rPr>
              <w:t>Estimates collapsed post-July 14 pre-announcement. FY2026 adjusted EPS consensus fell from ~$5.36 (as of May 5) to ~$4.84 (latest), still above the revised guidance midpoint of $4.70, suggesting some residual risk.</w:t>
            </w:r>
          </w:p>
        </w:tc>
      </w:tr>
      <w:tr>
        <w:tc>
          <w:tcPr>
            <w:tcW w:type="dxa" w:w="4320"/>
          </w:tcPr>
          <w:p>
            <w:r>
              <w:rPr>
                <w:rFonts w:ascii="Calibri" w:hAnsi="Calibri"/>
                <w:b/>
                <w:sz w:val="22"/>
              </w:rPr>
              <w:t>Stock Setup</w:t>
            </w:r>
          </w:p>
        </w:tc>
        <w:tc>
          <w:tcPr>
            <w:tcW w:type="dxa" w:w="4320"/>
          </w:tcPr>
          <w:p>
            <w:r>
              <w:rPr>
                <w:rFonts w:ascii="Calibri" w:hAnsi="Calibri"/>
                <w:sz w:val="22"/>
              </w:rPr>
              <w:t>PNR is down ~24% since Q1 earnings (Apr 28) vs. PHO Water ETF flat and SPY +4%, implying significant de-rating. The stock is trading at a meaningful discount to its historical multiple, but the path to re-rating requires visibility on pool recovery timing.</w:t>
            </w:r>
          </w:p>
        </w:tc>
      </w:tr>
      <w:tr>
        <w:tc>
          <w:tcPr>
            <w:tcW w:type="dxa" w:w="4320"/>
          </w:tcPr>
          <w:p>
            <w:r>
              <w:rPr>
                <w:rFonts w:ascii="Calibri" w:hAnsi="Calibri"/>
                <w:b/>
                <w:sz w:val="22"/>
              </w:rPr>
              <w:t>Wildcard</w:t>
            </w:r>
          </w:p>
        </w:tc>
        <w:tc>
          <w:tcPr>
            <w:tcW w:type="dxa" w:w="4320"/>
          </w:tcPr>
          <w:p>
            <w:r>
              <w:rPr>
                <w:rFonts w:ascii="Calibri" w:hAnsi="Calibri"/>
                <w:sz w:val="22"/>
              </w:rPr>
              <w:t>Any commentary on Q3 pool sell-in trajectory or early 2027 channel inventory normalization signals — either direction — is the single biggest swing factor on the call.</w:t>
            </w:r>
          </w:p>
        </w:tc>
      </w:tr>
    </w:tbl>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The pre-announcement has reset the Q2 bar materially lower; the bigger swing factor is whether </w:t>
      </w:r>
      <w:r>
        <w:rPr>
          <w:rFonts w:ascii="Calibri" w:hAnsi="Calibri"/>
          <w:b/>
          <w:color w:val="525866"/>
          <w:sz w:val="22"/>
        </w:rPr>
        <w:t>Pool segment income can recover in H2</w:t>
      </w:r>
      <w:r>
        <w:rPr>
          <w:rFonts w:ascii="Calibri" w:hAnsi="Calibri"/>
          <w:color w:val="525866"/>
          <w:sz w:val="22"/>
        </w:rPr>
        <w:t xml:space="preserve"> or whether the $155M full-year pool headwind estimate proves conservative.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(Q1 Earnings)</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Net Sales ($M)</w:t>
            </w:r>
          </w:p>
        </w:tc>
        <w:tc>
          <w:tcPr>
            <w:tcW w:type="dxa" w:w="1234"/>
          </w:tcPr>
          <w:p>
            <w:r>
              <w:rPr>
                <w:rFonts w:ascii="Calibri" w:hAnsi="Calibri"/>
                <w:sz w:val="22"/>
              </w:rPr>
              <w:t>$1,036.7M</w:t>
            </w:r>
          </w:p>
        </w:tc>
        <w:tc>
          <w:tcPr>
            <w:tcW w:type="dxa" w:w="1234"/>
          </w:tcPr>
          <w:p>
            <w:r>
              <w:rPr>
                <w:rFonts w:ascii="Calibri" w:hAnsi="Calibri"/>
                <w:sz w:val="22"/>
              </w:rPr>
              <w:t>$1,123.1M</w:t>
            </w:r>
          </w:p>
        </w:tc>
        <w:tc>
          <w:tcPr>
            <w:tcW w:type="dxa" w:w="1234"/>
          </w:tcPr>
          <w:p>
            <w:r>
              <w:rPr>
                <w:rFonts w:ascii="Calibri" w:hAnsi="Calibri"/>
                <w:b/>
                <w:color w:val="E5484D"/>
                <w:sz w:val="22"/>
              </w:rPr>
              <w:t>~$930M (pre-ann.)</w:t>
            </w:r>
          </w:p>
        </w:tc>
        <w:tc>
          <w:tcPr>
            <w:tcW w:type="dxa" w:w="1234"/>
          </w:tcPr>
          <w:p>
            <w:r>
              <w:rPr>
                <w:rFonts w:ascii="Calibri" w:hAnsi="Calibri"/>
                <w:b/>
                <w:color w:val="E5484D"/>
                <w:sz w:val="22"/>
              </w:rPr>
              <w:t>-17.2%</w:t>
            </w:r>
          </w:p>
        </w:tc>
        <w:tc>
          <w:tcPr>
            <w:tcW w:type="dxa" w:w="1234"/>
          </w:tcPr>
          <w:p>
            <w:r>
              <w:rPr>
                <w:rFonts w:ascii="Calibri" w:hAnsi="Calibri"/>
                <w:sz w:val="22"/>
              </w:rPr>
              <w:t>+~1% (~$1,134M)</w:t>
            </w:r>
          </w:p>
        </w:tc>
        <w:tc>
          <w:tcPr>
            <w:tcW w:type="dxa" w:w="1234"/>
          </w:tcPr>
          <w:p>
            <w:r>
              <w:rPr>
                <w:rFonts w:ascii="Calibri" w:hAnsi="Calibri"/>
                <w:b/>
                <w:color w:val="E5484D"/>
                <w:sz w:val="22"/>
              </w:rPr>
              <w:t>-18.0% vs. guide</w:t>
            </w:r>
          </w:p>
        </w:tc>
      </w:tr>
      <w:tr>
        <w:tc>
          <w:tcPr>
            <w:tcW w:type="dxa" w:w="1234"/>
          </w:tcPr>
          <w:p>
            <w:r>
              <w:rPr>
                <w:rFonts w:ascii="Calibri" w:hAnsi="Calibri"/>
                <w:sz w:val="22"/>
              </w:rPr>
              <w:t>Adj. EPS ($)</w:t>
            </w:r>
          </w:p>
        </w:tc>
        <w:tc>
          <w:tcPr>
            <w:tcW w:type="dxa" w:w="1234"/>
          </w:tcPr>
          <w:p>
            <w:r>
              <w:rPr>
                <w:rFonts w:ascii="Calibri" w:hAnsi="Calibri"/>
                <w:sz w:val="22"/>
              </w:rPr>
              <w:t>$1.22</w:t>
            </w:r>
          </w:p>
        </w:tc>
        <w:tc>
          <w:tcPr>
            <w:tcW w:type="dxa" w:w="1234"/>
          </w:tcPr>
          <w:p>
            <w:r>
              <w:rPr>
                <w:rFonts w:ascii="Calibri" w:hAnsi="Calibri"/>
                <w:sz w:val="22"/>
              </w:rPr>
              <w:t>$1.39</w:t>
            </w:r>
          </w:p>
        </w:tc>
        <w:tc>
          <w:tcPr>
            <w:tcW w:type="dxa" w:w="1234"/>
          </w:tcPr>
          <w:p>
            <w:r>
              <w:rPr>
                <w:rFonts w:ascii="Calibri" w:hAnsi="Calibri"/>
                <w:b/>
                <w:color w:val="E5484D"/>
                <w:sz w:val="22"/>
              </w:rPr>
              <w:t>~$1.12 (pre-ann.)</w:t>
            </w:r>
          </w:p>
        </w:tc>
        <w:tc>
          <w:tcPr>
            <w:tcW w:type="dxa" w:w="1234"/>
          </w:tcPr>
          <w:p>
            <w:r>
              <w:rPr>
                <w:rFonts w:ascii="Calibri" w:hAnsi="Calibri"/>
                <w:b/>
                <w:color w:val="E5484D"/>
                <w:sz w:val="22"/>
              </w:rPr>
              <w:t>-19.4%</w:t>
            </w:r>
          </w:p>
        </w:tc>
        <w:tc>
          <w:tcPr>
            <w:tcW w:type="dxa" w:w="1234"/>
          </w:tcPr>
          <w:p>
            <w:r>
              <w:rPr>
                <w:rFonts w:ascii="Calibri" w:hAnsi="Calibri"/>
                <w:sz w:val="22"/>
              </w:rPr>
              <w:t>$1.47–$1.50</w:t>
            </w:r>
          </w:p>
        </w:tc>
        <w:tc>
          <w:tcPr>
            <w:tcW w:type="dxa" w:w="1234"/>
          </w:tcPr>
          <w:p>
            <w:r>
              <w:rPr>
                <w:rFonts w:ascii="Calibri" w:hAnsi="Calibri"/>
                <w:b/>
                <w:color w:val="E5484D"/>
                <w:sz w:val="22"/>
              </w:rPr>
              <w:t>-25% vs. guide midpoint</w:t>
            </w:r>
          </w:p>
        </w:tc>
      </w:tr>
      <w:tr>
        <w:tc>
          <w:tcPr>
            <w:tcW w:type="dxa" w:w="1234"/>
          </w:tcPr>
          <w:p>
            <w:r>
              <w:rPr>
                <w:rFonts w:ascii="Calibri" w:hAnsi="Calibri"/>
                <w:sz w:val="22"/>
              </w:rPr>
              <w:t>Adj. Operating Income ($M)</w:t>
            </w:r>
          </w:p>
        </w:tc>
        <w:tc>
          <w:tcPr>
            <w:tcW w:type="dxa" w:w="1234"/>
          </w:tcPr>
          <w:p>
            <w:r>
              <w:rPr>
                <w:rFonts w:ascii="Calibri" w:hAnsi="Calibri"/>
                <w:sz w:val="22"/>
              </w:rPr>
              <w:t>$259.1M</w:t>
            </w:r>
          </w:p>
        </w:tc>
        <w:tc>
          <w:tcPr>
            <w:tcW w:type="dxa" w:w="1234"/>
          </w:tcPr>
          <w:p>
            <w:r>
              <w:rPr>
                <w:rFonts w:ascii="Calibri" w:hAnsi="Calibri"/>
                <w:sz w:val="22"/>
              </w:rPr>
              <w:t>$296.7M</w:t>
            </w:r>
          </w:p>
        </w:tc>
        <w:tc>
          <w:tcPr>
            <w:tcW w:type="dxa" w:w="1234"/>
          </w:tcPr>
          <w:p>
            <w:r>
              <w:rPr>
                <w:rFonts w:ascii="Calibri" w:hAnsi="Calibri"/>
                <w:b/>
                <w:color w:val="E5484D"/>
                <w:sz w:val="22"/>
              </w:rPr>
              <w:t>~$235M (pre-ann.)</w:t>
            </w:r>
          </w:p>
        </w:tc>
        <w:tc>
          <w:tcPr>
            <w:tcW w:type="dxa" w:w="1234"/>
          </w:tcPr>
          <w:p>
            <w:r>
              <w:rPr>
                <w:rFonts w:ascii="Calibri" w:hAnsi="Calibri"/>
                <w:b/>
                <w:color w:val="E5484D"/>
                <w:sz w:val="22"/>
              </w:rPr>
              <w:t>-20.8%</w:t>
            </w:r>
          </w:p>
        </w:tc>
        <w:tc>
          <w:tcPr>
            <w:tcW w:type="dxa" w:w="1234"/>
          </w:tcPr>
          <w:p>
            <w:r>
              <w:rPr>
                <w:rFonts w:ascii="Calibri" w:hAnsi="Calibri"/>
                <w:sz w:val="22"/>
              </w:rPr>
              <w:t>+5–6% (~$313M)</w:t>
            </w:r>
          </w:p>
        </w:tc>
        <w:tc>
          <w:tcPr>
            <w:tcW w:type="dxa" w:w="1234"/>
          </w:tcPr>
          <w:p>
            <w:r>
              <w:rPr>
                <w:rFonts w:ascii="Calibri" w:hAnsi="Calibri"/>
                <w:b/>
                <w:color w:val="E5484D"/>
                <w:sz w:val="22"/>
              </w:rPr>
              <w:t>-25% vs. guide</w:t>
            </w:r>
          </w:p>
        </w:tc>
      </w:tr>
      <w:tr>
        <w:tc>
          <w:tcPr>
            <w:tcW w:type="dxa" w:w="1234"/>
          </w:tcPr>
          <w:p>
            <w:r>
              <w:rPr>
                <w:rFonts w:ascii="Calibri" w:hAnsi="Calibri"/>
                <w:sz w:val="22"/>
              </w:rPr>
              <w:t>Adj. Operating Margin (%)</w:t>
            </w:r>
          </w:p>
        </w:tc>
        <w:tc>
          <w:tcPr>
            <w:tcW w:type="dxa" w:w="1234"/>
          </w:tcPr>
          <w:p>
            <w:r>
              <w:rPr>
                <w:rFonts w:ascii="Calibri" w:hAnsi="Calibri"/>
                <w:sz w:val="22"/>
              </w:rPr>
              <w:t>25.0%</w:t>
            </w:r>
          </w:p>
        </w:tc>
        <w:tc>
          <w:tcPr>
            <w:tcW w:type="dxa" w:w="1234"/>
          </w:tcPr>
          <w:p>
            <w:r>
              <w:rPr>
                <w:rFonts w:ascii="Calibri" w:hAnsi="Calibri"/>
                <w:sz w:val="22"/>
              </w:rPr>
              <w:t>26.4%</w:t>
            </w:r>
          </w:p>
        </w:tc>
        <w:tc>
          <w:tcPr>
            <w:tcW w:type="dxa" w:w="1234"/>
          </w:tcPr>
          <w:p>
            <w:r>
              <w:rPr>
                <w:rFonts w:ascii="Calibri" w:hAnsi="Calibri"/>
                <w:b/>
                <w:color w:val="E5484D"/>
                <w:sz w:val="22"/>
              </w:rPr>
              <w:t>~25.3% (pre-ann. implied)</w:t>
            </w:r>
          </w:p>
        </w:tc>
        <w:tc>
          <w:tcPr>
            <w:tcW w:type="dxa" w:w="1234"/>
          </w:tcPr>
          <w:p>
            <w:r>
              <w:rPr>
                <w:rFonts w:ascii="Calibri" w:hAnsi="Calibri"/>
                <w:b/>
                <w:color w:val="E5484D"/>
                <w:sz w:val="22"/>
              </w:rPr>
              <w:t>-110 bps</w:t>
            </w:r>
          </w:p>
        </w:tc>
        <w:tc>
          <w:tcPr>
            <w:tcW w:type="dxa" w:w="1234"/>
          </w:tcPr>
          <w:p>
            <w:r>
              <w:rPr>
                <w:rFonts w:ascii="Calibri" w:hAnsi="Calibri"/>
                <w:sz w:val="22"/>
              </w:rPr>
              <w:t>~26.5%</w:t>
            </w:r>
          </w:p>
        </w:tc>
        <w:tc>
          <w:tcPr>
            <w:tcW w:type="dxa" w:w="1234"/>
          </w:tcPr>
          <w:p>
            <w:r>
              <w:rPr>
                <w:rFonts w:ascii="Calibri" w:hAnsi="Calibri"/>
                <w:b/>
                <w:color w:val="E5484D"/>
                <w:sz w:val="22"/>
              </w:rPr>
              <w:t>-120 bps vs. guide</w:t>
            </w:r>
          </w:p>
        </w:tc>
      </w:tr>
      <w:tr>
        <w:tc>
          <w:tcPr>
            <w:tcW w:type="dxa" w:w="1234"/>
          </w:tcPr>
          <w:p>
            <w:r>
              <w:rPr>
                <w:rFonts w:ascii="Calibri" w:hAnsi="Calibri"/>
                <w:sz w:val="22"/>
              </w:rPr>
              <w:t>Pool Sales ($M)</w:t>
            </w:r>
          </w:p>
        </w:tc>
        <w:tc>
          <w:tcPr>
            <w:tcW w:type="dxa" w:w="1234"/>
          </w:tcPr>
          <w:p>
            <w:r>
              <w:rPr>
                <w:rFonts w:ascii="Calibri" w:hAnsi="Calibri"/>
                <w:sz w:val="22"/>
              </w:rPr>
              <w:t>$387.1M</w:t>
            </w:r>
          </w:p>
        </w:tc>
        <w:tc>
          <w:tcPr>
            <w:tcW w:type="dxa" w:w="1234"/>
          </w:tcPr>
          <w:p>
            <w:r>
              <w:rPr>
                <w:rFonts w:ascii="Calibri" w:hAnsi="Calibri"/>
                <w:sz w:val="22"/>
              </w:rPr>
              <w:t>$427.2M</w:t>
            </w:r>
          </w:p>
        </w:tc>
        <w:tc>
          <w:tcPr>
            <w:tcW w:type="dxa" w:w="1234"/>
          </w:tcPr>
          <w:p>
            <w:r>
              <w:rPr>
                <w:rFonts w:ascii="Calibri" w:hAnsi="Calibri"/>
                <w:b/>
                <w:color w:val="E5484D"/>
                <w:sz w:val="22"/>
              </w:rPr>
              <w:t>~$292M (latest cons.)</w:t>
            </w:r>
          </w:p>
        </w:tc>
        <w:tc>
          <w:tcPr>
            <w:tcW w:type="dxa" w:w="1234"/>
          </w:tcPr>
          <w:p>
            <w:r>
              <w:rPr>
                <w:rFonts w:ascii="Calibri" w:hAnsi="Calibri"/>
                <w:b/>
                <w:color w:val="E5484D"/>
                <w:sz w:val="22"/>
              </w:rPr>
              <w:t>-31.6%</w:t>
            </w:r>
          </w:p>
        </w:tc>
        <w:tc>
          <w:tcPr>
            <w:tcW w:type="dxa" w:w="1234"/>
          </w:tcPr>
          <w:p>
            <w:r>
              <w:rPr>
                <w:rFonts w:ascii="Calibri" w:hAnsi="Calibri"/>
                <w:sz w:val="22"/>
              </w:rPr>
              <w:t>Flat to +1% (~$431M)</w:t>
            </w:r>
          </w:p>
        </w:tc>
        <w:tc>
          <w:tcPr>
            <w:tcW w:type="dxa" w:w="1234"/>
          </w:tcPr>
          <w:p>
            <w:r>
              <w:rPr>
                <w:rFonts w:ascii="Calibri" w:hAnsi="Calibri"/>
                <w:b/>
                <w:color w:val="E5484D"/>
                <w:sz w:val="22"/>
              </w:rPr>
              <w:t>-32% vs. guide</w:t>
            </w:r>
          </w:p>
        </w:tc>
      </w:tr>
      <w:tr>
        <w:tc>
          <w:tcPr>
            <w:tcW w:type="dxa" w:w="1234"/>
          </w:tcPr>
          <w:p>
            <w:r>
              <w:rPr>
                <w:rFonts w:ascii="Calibri" w:hAnsi="Calibri"/>
                <w:sz w:val="22"/>
              </w:rPr>
              <w:t>Flow Sales ($M)</w:t>
            </w:r>
          </w:p>
        </w:tc>
        <w:tc>
          <w:tcPr>
            <w:tcW w:type="dxa" w:w="1234"/>
          </w:tcPr>
          <w:p>
            <w:r>
              <w:rPr>
                <w:rFonts w:ascii="Calibri" w:hAnsi="Calibri"/>
                <w:sz w:val="22"/>
              </w:rPr>
              <w:t>$258.1M</w:t>
            </w:r>
          </w:p>
        </w:tc>
        <w:tc>
          <w:tcPr>
            <w:tcW w:type="dxa" w:w="1234"/>
          </w:tcPr>
          <w:p>
            <w:r>
              <w:rPr>
                <w:rFonts w:ascii="Calibri" w:hAnsi="Calibri"/>
                <w:sz w:val="22"/>
              </w:rPr>
              <w:t>$250.9M</w:t>
            </w:r>
          </w:p>
        </w:tc>
        <w:tc>
          <w:tcPr>
            <w:tcW w:type="dxa" w:w="1234"/>
          </w:tcPr>
          <w:p>
            <w:r>
              <w:rPr>
                <w:rFonts w:ascii="Calibri" w:hAnsi="Calibri"/>
                <w:sz w:val="22"/>
              </w:rPr>
              <w:t>~$266.5M (latest cons.)</w:t>
            </w:r>
          </w:p>
        </w:tc>
        <w:tc>
          <w:tcPr>
            <w:tcW w:type="dxa" w:w="1234"/>
          </w:tcPr>
          <w:p>
            <w:r>
              <w:rPr>
                <w:rFonts w:ascii="Calibri" w:hAnsi="Calibri"/>
                <w:b/>
                <w:color w:val="30A46C"/>
                <w:sz w:val="22"/>
              </w:rPr>
              <w:t>+6.2%</w:t>
            </w:r>
          </w:p>
        </w:tc>
        <w:tc>
          <w:tcPr>
            <w:tcW w:type="dxa" w:w="1234"/>
          </w:tcPr>
          <w:p>
            <w:r>
              <w:rPr>
                <w:rFonts w:ascii="Calibri" w:hAnsi="Calibri"/>
                <w:sz w:val="22"/>
              </w:rPr>
              <w:t>+high single digits</w:t>
            </w:r>
          </w:p>
        </w:tc>
        <w:tc>
          <w:tcPr>
            <w:tcW w:type="dxa" w:w="1234"/>
          </w:tcPr>
          <w:p>
            <w:r>
              <w:rPr>
                <w:rFonts w:ascii="Calibri" w:hAnsi="Calibri"/>
                <w:sz w:val="22"/>
              </w:rPr>
              <w:t>In line</w:t>
            </w:r>
          </w:p>
        </w:tc>
      </w:tr>
      <w:tr>
        <w:tc>
          <w:tcPr>
            <w:tcW w:type="dxa" w:w="1234"/>
          </w:tcPr>
          <w:p>
            <w:r>
              <w:rPr>
                <w:rFonts w:ascii="Calibri" w:hAnsi="Calibri"/>
                <w:sz w:val="22"/>
              </w:rPr>
              <w:t>Water Solutions Sales ($M)</w:t>
            </w:r>
          </w:p>
        </w:tc>
        <w:tc>
          <w:tcPr>
            <w:tcW w:type="dxa" w:w="1234"/>
          </w:tcPr>
          <w:p>
            <w:r>
              <w:rPr>
                <w:rFonts w:ascii="Calibri" w:hAnsi="Calibri"/>
                <w:sz w:val="22"/>
              </w:rPr>
              <w:t>$391.0M</w:t>
            </w:r>
          </w:p>
        </w:tc>
        <w:tc>
          <w:tcPr>
            <w:tcW w:type="dxa" w:w="1234"/>
          </w:tcPr>
          <w:p>
            <w:r>
              <w:rPr>
                <w:rFonts w:ascii="Calibri" w:hAnsi="Calibri"/>
                <w:sz w:val="22"/>
              </w:rPr>
              <w:t>$444.7M</w:t>
            </w:r>
          </w:p>
        </w:tc>
        <w:tc>
          <w:tcPr>
            <w:tcW w:type="dxa" w:w="1234"/>
          </w:tcPr>
          <w:p>
            <w:r>
              <w:rPr>
                <w:rFonts w:ascii="Calibri" w:hAnsi="Calibri"/>
                <w:sz w:val="22"/>
              </w:rPr>
              <w:t>~$423.3M (latest cons.)</w:t>
            </w:r>
          </w:p>
        </w:tc>
        <w:tc>
          <w:tcPr>
            <w:tcW w:type="dxa" w:w="1234"/>
          </w:tcPr>
          <w:p>
            <w:r>
              <w:rPr>
                <w:rFonts w:ascii="Calibri" w:hAnsi="Calibri"/>
                <w:sz w:val="22"/>
              </w:rPr>
              <w:t>-4.8%</w:t>
            </w:r>
          </w:p>
        </w:tc>
        <w:tc>
          <w:tcPr>
            <w:tcW w:type="dxa" w:w="1234"/>
          </w:tcPr>
          <w:p>
            <w:r>
              <w:rPr>
                <w:rFonts w:ascii="Calibri" w:hAnsi="Calibri"/>
                <w:sz w:val="22"/>
              </w:rPr>
              <w:t>Down low single digits</w:t>
            </w:r>
          </w:p>
        </w:tc>
        <w:tc>
          <w:tcPr>
            <w:tcW w:type="dxa" w:w="1234"/>
          </w:tcPr>
          <w:p>
            <w:r>
              <w:rPr>
                <w:rFonts w:ascii="Calibri" w:hAnsi="Calibri"/>
                <w:sz w:val="22"/>
              </w:rPr>
              <w:t>In line</w:t>
            </w:r>
          </w:p>
        </w:tc>
      </w:tr>
    </w:tbl>
    <w:p>
      <w:r>
        <w:rPr>
          <w:rFonts w:ascii="Calibri" w:hAnsi="Calibri"/>
          <w:i/>
          <w:color w:val="525866"/>
          <w:sz w:val="22"/>
        </w:rPr>
        <w:t xml:space="preserve">Note: </w:t>
      </w:r>
      <w:r>
        <w:rPr>
          <w:rFonts w:ascii="Calibri" w:hAnsi="Calibri"/>
          <w:i/>
          <w:color w:val="525866"/>
          <w:sz w:val="22"/>
        </w:rPr>
        <w:t>Q2 2026 figures reflect the July 14, 2026 preliminary results announcement. Consensus estimates sourced from Visible Alpha.</w:t>
      </w:r>
    </w:p>
    <w:p>
      <w:pPr>
        <w:pStyle w:val="Heading3"/>
      </w:pPr>
      <w:r>
        <w:rPr>
          <w:rFonts w:ascii="Calibri" w:hAnsi="Calibri"/>
          <w:b/>
          <w:color w:val="3B4259"/>
          <w:sz w:val="24"/>
        </w:rPr>
        <w:t>Table 2 — Beat/Miss History (Last 8 Quarters, Top 2 KPIs: Net Sales &amp; Adj. EPS)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Net Sales Reported</w:t>
            </w:r>
          </w:p>
        </w:tc>
        <w:tc>
          <w:tcPr>
            <w:tcW w:type="dxa" w:w="1080"/>
            <w:shd w:val="clear" w:color="auto" w:fill="3B4259"/>
          </w:tcPr>
          <w:p>
            <w:r>
              <w:rPr>
                <w:rFonts w:ascii="Calibri" w:hAnsi="Calibri"/>
                <w:b/>
                <w:color w:val="FFFFFF"/>
                <w:sz w:val="22"/>
              </w:rPr>
              <w:t>Net Sales Consensus</w:t>
            </w:r>
          </w:p>
        </w:tc>
        <w:tc>
          <w:tcPr>
            <w:tcW w:type="dxa" w:w="1080"/>
            <w:shd w:val="clear" w:color="auto" w:fill="3B4259"/>
          </w:tcPr>
          <w:p>
            <w:r>
              <w:rPr>
                <w:rFonts w:ascii="Calibri" w:hAnsi="Calibri"/>
                <w:b/>
                <w:color w:val="FFFFFF"/>
                <w:sz w:val="22"/>
              </w:rPr>
              <w:t>Sales Surprise</w:t>
            </w:r>
          </w:p>
        </w:tc>
        <w:tc>
          <w:tcPr>
            <w:tcW w:type="dxa" w:w="1080"/>
            <w:shd w:val="clear" w:color="auto" w:fill="3B4259"/>
          </w:tcPr>
          <w:p>
            <w:r>
              <w:rPr>
                <w:rFonts w:ascii="Calibri" w:hAnsi="Calibri"/>
                <w:b/>
                <w:color w:val="FFFFFF"/>
                <w:sz w:val="22"/>
              </w:rPr>
              <w:t>Adj. EPS Reported</w:t>
            </w:r>
          </w:p>
        </w:tc>
        <w:tc>
          <w:tcPr>
            <w:tcW w:type="dxa" w:w="1080"/>
            <w:shd w:val="clear" w:color="auto" w:fill="3B4259"/>
          </w:tcPr>
          <w:p>
            <w:r>
              <w:rPr>
                <w:rFonts w:ascii="Calibri" w:hAnsi="Calibri"/>
                <w:b/>
                <w:color w:val="FFFFFF"/>
                <w:sz w:val="22"/>
              </w:rPr>
              <w:t>Adj. EPS Consensus</w:t>
            </w:r>
          </w:p>
        </w:tc>
        <w:tc>
          <w:tcPr>
            <w:tcW w:type="dxa" w:w="1080"/>
            <w:shd w:val="clear" w:color="auto" w:fill="3B4259"/>
          </w:tcPr>
          <w:p>
            <w:r>
              <w:rPr>
                <w:rFonts w:ascii="Calibri" w:hAnsi="Calibri"/>
                <w:b/>
                <w:color w:val="FFFFFF"/>
                <w:sz w:val="22"/>
              </w:rPr>
              <w:t>EPS Surprise</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Q2 2024</w:t>
            </w:r>
          </w:p>
        </w:tc>
        <w:tc>
          <w:tcPr>
            <w:tcW w:type="dxa" w:w="1080"/>
          </w:tcPr>
          <w:p>
            <w:r>
              <w:rPr>
                <w:rFonts w:ascii="Calibri" w:hAnsi="Calibri"/>
                <w:sz w:val="22"/>
              </w:rPr>
              <w:t>$1,099.3M</w:t>
            </w:r>
          </w:p>
        </w:tc>
        <w:tc>
          <w:tcPr>
            <w:tcW w:type="dxa" w:w="1080"/>
          </w:tcPr>
          <w:p>
            <w:r>
              <w:rPr>
                <w:rFonts w:ascii="Calibri" w:hAnsi="Calibri"/>
                <w:sz w:val="22"/>
              </w:rPr>
              <w:t>$1,092.2M</w:t>
            </w:r>
          </w:p>
        </w:tc>
        <w:tc>
          <w:tcPr>
            <w:tcW w:type="dxa" w:w="1080"/>
          </w:tcPr>
          <w:p>
            <w:r>
              <w:rPr>
                <w:rFonts w:ascii="Calibri" w:hAnsi="Calibri"/>
                <w:sz w:val="22"/>
              </w:rPr>
              <w:t>+0.7%</w:t>
            </w:r>
          </w:p>
        </w:tc>
        <w:tc>
          <w:tcPr>
            <w:tcW w:type="dxa" w:w="1080"/>
          </w:tcPr>
          <w:p>
            <w:r>
              <w:rPr>
                <w:rFonts w:ascii="Calibri" w:hAnsi="Calibri"/>
                <w:sz w:val="22"/>
              </w:rPr>
              <w:t>$1.22</w:t>
            </w:r>
          </w:p>
        </w:tc>
        <w:tc>
          <w:tcPr>
            <w:tcW w:type="dxa" w:w="1080"/>
          </w:tcPr>
          <w:p>
            <w:r>
              <w:rPr>
                <w:rFonts w:ascii="Calibri" w:hAnsi="Calibri"/>
                <w:sz w:val="22"/>
              </w:rPr>
              <w:t>$1.14</w:t>
            </w:r>
          </w:p>
        </w:tc>
        <w:tc>
          <w:tcPr>
            <w:tcW w:type="dxa" w:w="1080"/>
          </w:tcPr>
          <w:p>
            <w:r>
              <w:rPr>
                <w:rFonts w:ascii="Calibri" w:hAnsi="Calibri"/>
                <w:b/>
                <w:color w:val="30A46C"/>
                <w:sz w:val="22"/>
              </w:rPr>
              <w:t>+7.0%</w:t>
            </w:r>
          </w:p>
        </w:tc>
        <w:tc>
          <w:tcPr>
            <w:tcW w:type="dxa" w:w="1080"/>
          </w:tcPr>
          <w:p>
            <w:r>
              <w:rPr>
                <w:rFonts w:ascii="Calibri" w:hAnsi="Calibri"/>
                <w:b/>
                <w:color w:val="30A46C"/>
                <w:sz w:val="22"/>
              </w:rPr>
              <w:t>Beat</w:t>
            </w:r>
          </w:p>
        </w:tc>
      </w:tr>
      <w:tr>
        <w:tc>
          <w:tcPr>
            <w:tcW w:type="dxa" w:w="1080"/>
          </w:tcPr>
          <w:p>
            <w:r>
              <w:rPr>
                <w:rFonts w:ascii="Calibri" w:hAnsi="Calibri"/>
                <w:sz w:val="22"/>
              </w:rPr>
              <w:t>Q3 2024</w:t>
            </w:r>
          </w:p>
        </w:tc>
        <w:tc>
          <w:tcPr>
            <w:tcW w:type="dxa" w:w="1080"/>
          </w:tcPr>
          <w:p>
            <w:r>
              <w:rPr>
                <w:rFonts w:ascii="Calibri" w:hAnsi="Calibri"/>
                <w:sz w:val="22"/>
              </w:rPr>
              <w:t>$993.4M</w:t>
            </w:r>
          </w:p>
        </w:tc>
        <w:tc>
          <w:tcPr>
            <w:tcW w:type="dxa" w:w="1080"/>
          </w:tcPr>
          <w:p>
            <w:r>
              <w:rPr>
                <w:rFonts w:ascii="Calibri" w:hAnsi="Calibri"/>
                <w:sz w:val="22"/>
              </w:rPr>
              <w:t>$987.7M</w:t>
            </w:r>
          </w:p>
        </w:tc>
        <w:tc>
          <w:tcPr>
            <w:tcW w:type="dxa" w:w="1080"/>
          </w:tcPr>
          <w:p>
            <w:r>
              <w:rPr>
                <w:rFonts w:ascii="Calibri" w:hAnsi="Calibri"/>
                <w:sz w:val="22"/>
              </w:rPr>
              <w:t>+0.6%</w:t>
            </w:r>
          </w:p>
        </w:tc>
        <w:tc>
          <w:tcPr>
            <w:tcW w:type="dxa" w:w="1080"/>
          </w:tcPr>
          <w:p>
            <w:r>
              <w:rPr>
                <w:rFonts w:ascii="Calibri" w:hAnsi="Calibri"/>
                <w:sz w:val="22"/>
              </w:rPr>
              <w:t>$1.09</w:t>
            </w:r>
          </w:p>
        </w:tc>
        <w:tc>
          <w:tcPr>
            <w:tcW w:type="dxa" w:w="1080"/>
          </w:tcPr>
          <w:p>
            <w:r>
              <w:rPr>
                <w:rFonts w:ascii="Calibri" w:hAnsi="Calibri"/>
                <w:sz w:val="22"/>
              </w:rPr>
              <w:t>$1.07</w:t>
            </w:r>
          </w:p>
        </w:tc>
        <w:tc>
          <w:tcPr>
            <w:tcW w:type="dxa" w:w="1080"/>
          </w:tcPr>
          <w:p>
            <w:r>
              <w:rPr>
                <w:rFonts w:ascii="Calibri" w:hAnsi="Calibri"/>
                <w:b/>
                <w:color w:val="30A46C"/>
                <w:sz w:val="22"/>
              </w:rPr>
              <w:t>+1.9%</w:t>
            </w:r>
          </w:p>
        </w:tc>
        <w:tc>
          <w:tcPr>
            <w:tcW w:type="dxa" w:w="1080"/>
          </w:tcPr>
          <w:p>
            <w:r>
              <w:rPr>
                <w:rFonts w:ascii="Calibri" w:hAnsi="Calibri"/>
                <w:b/>
                <w:color w:val="30A46C"/>
                <w:sz w:val="22"/>
              </w:rPr>
              <w:t>Beat</w:t>
            </w:r>
          </w:p>
        </w:tc>
      </w:tr>
      <w:tr>
        <w:tc>
          <w:tcPr>
            <w:tcW w:type="dxa" w:w="1080"/>
          </w:tcPr>
          <w:p>
            <w:r>
              <w:rPr>
                <w:rFonts w:ascii="Calibri" w:hAnsi="Calibri"/>
                <w:sz w:val="22"/>
              </w:rPr>
              <w:t>Q4 2024</w:t>
            </w:r>
          </w:p>
        </w:tc>
        <w:tc>
          <w:tcPr>
            <w:tcW w:type="dxa" w:w="1080"/>
          </w:tcPr>
          <w:p>
            <w:r>
              <w:rPr>
                <w:rFonts w:ascii="Calibri" w:hAnsi="Calibri"/>
                <w:sz w:val="22"/>
              </w:rPr>
              <w:t>$972.9M</w:t>
            </w:r>
          </w:p>
        </w:tc>
        <w:tc>
          <w:tcPr>
            <w:tcW w:type="dxa" w:w="1080"/>
          </w:tcPr>
          <w:p>
            <w:r>
              <w:rPr>
                <w:rFonts w:ascii="Calibri" w:hAnsi="Calibri"/>
                <w:sz w:val="22"/>
              </w:rPr>
              <w:t>$972.0M</w:t>
            </w:r>
          </w:p>
        </w:tc>
        <w:tc>
          <w:tcPr>
            <w:tcW w:type="dxa" w:w="1080"/>
          </w:tcPr>
          <w:p>
            <w:r>
              <w:rPr>
                <w:rFonts w:ascii="Calibri" w:hAnsi="Calibri"/>
                <w:sz w:val="22"/>
              </w:rPr>
              <w:t>+0.1%</w:t>
            </w:r>
          </w:p>
        </w:tc>
        <w:tc>
          <w:tcPr>
            <w:tcW w:type="dxa" w:w="1080"/>
          </w:tcPr>
          <w:p>
            <w:r>
              <w:rPr>
                <w:rFonts w:ascii="Calibri" w:hAnsi="Calibri"/>
                <w:sz w:val="22"/>
              </w:rPr>
              <w:t>$1.08</w:t>
            </w:r>
          </w:p>
        </w:tc>
        <w:tc>
          <w:tcPr>
            <w:tcW w:type="dxa" w:w="1080"/>
          </w:tcPr>
          <w:p>
            <w:r>
              <w:rPr>
                <w:rFonts w:ascii="Calibri" w:hAnsi="Calibri"/>
                <w:sz w:val="22"/>
              </w:rPr>
              <w:t>$1.02</w:t>
            </w:r>
          </w:p>
        </w:tc>
        <w:tc>
          <w:tcPr>
            <w:tcW w:type="dxa" w:w="1080"/>
          </w:tcPr>
          <w:p>
            <w:r>
              <w:rPr>
                <w:rFonts w:ascii="Calibri" w:hAnsi="Calibri"/>
                <w:b/>
                <w:color w:val="30A46C"/>
                <w:sz w:val="22"/>
              </w:rPr>
              <w:t>+5.9%</w:t>
            </w:r>
          </w:p>
        </w:tc>
        <w:tc>
          <w:tcPr>
            <w:tcW w:type="dxa" w:w="1080"/>
          </w:tcPr>
          <w:p>
            <w:r>
              <w:rPr>
                <w:rFonts w:ascii="Calibri" w:hAnsi="Calibri"/>
                <w:b/>
                <w:color w:val="30A46C"/>
                <w:sz w:val="22"/>
              </w:rPr>
              <w:t>Beat</w:t>
            </w:r>
          </w:p>
        </w:tc>
      </w:tr>
      <w:tr>
        <w:tc>
          <w:tcPr>
            <w:tcW w:type="dxa" w:w="1080"/>
          </w:tcPr>
          <w:p>
            <w:r>
              <w:rPr>
                <w:rFonts w:ascii="Calibri" w:hAnsi="Calibri"/>
                <w:sz w:val="22"/>
              </w:rPr>
              <w:t>Q1 2025</w:t>
            </w:r>
          </w:p>
        </w:tc>
        <w:tc>
          <w:tcPr>
            <w:tcW w:type="dxa" w:w="1080"/>
          </w:tcPr>
          <w:p>
            <w:r>
              <w:rPr>
                <w:rFonts w:ascii="Calibri" w:hAnsi="Calibri"/>
                <w:sz w:val="22"/>
              </w:rPr>
              <w:t>$1,010.4M</w:t>
            </w:r>
          </w:p>
        </w:tc>
        <w:tc>
          <w:tcPr>
            <w:tcW w:type="dxa" w:w="1080"/>
          </w:tcPr>
          <w:p>
            <w:r>
              <w:rPr>
                <w:rFonts w:ascii="Calibri" w:hAnsi="Calibri"/>
                <w:sz w:val="22"/>
              </w:rPr>
              <w:t>$985.1M</w:t>
            </w:r>
          </w:p>
        </w:tc>
        <w:tc>
          <w:tcPr>
            <w:tcW w:type="dxa" w:w="1080"/>
          </w:tcPr>
          <w:p>
            <w:r>
              <w:rPr>
                <w:rFonts w:ascii="Calibri" w:hAnsi="Calibri"/>
                <w:sz w:val="22"/>
              </w:rPr>
              <w:t>+2.6%</w:t>
            </w:r>
          </w:p>
        </w:tc>
        <w:tc>
          <w:tcPr>
            <w:tcW w:type="dxa" w:w="1080"/>
          </w:tcPr>
          <w:p>
            <w:r>
              <w:rPr>
                <w:rFonts w:ascii="Calibri" w:hAnsi="Calibri"/>
                <w:sz w:val="22"/>
              </w:rPr>
              <w:t>$1.11</w:t>
            </w:r>
          </w:p>
        </w:tc>
        <w:tc>
          <w:tcPr>
            <w:tcW w:type="dxa" w:w="1080"/>
          </w:tcPr>
          <w:p>
            <w:r>
              <w:rPr>
                <w:rFonts w:ascii="Calibri" w:hAnsi="Calibri"/>
                <w:sz w:val="22"/>
              </w:rPr>
              <w:t>$1.01</w:t>
            </w:r>
          </w:p>
        </w:tc>
        <w:tc>
          <w:tcPr>
            <w:tcW w:type="dxa" w:w="1080"/>
          </w:tcPr>
          <w:p>
            <w:r>
              <w:rPr>
                <w:rFonts w:ascii="Calibri" w:hAnsi="Calibri"/>
                <w:b/>
                <w:color w:val="30A46C"/>
                <w:sz w:val="22"/>
              </w:rPr>
              <w:t>+9.9%</w:t>
            </w:r>
          </w:p>
        </w:tc>
        <w:tc>
          <w:tcPr>
            <w:tcW w:type="dxa" w:w="1080"/>
          </w:tcPr>
          <w:p>
            <w:r>
              <w:rPr>
                <w:rFonts w:ascii="Calibri" w:hAnsi="Calibri"/>
                <w:b/>
                <w:color w:val="30A46C"/>
                <w:sz w:val="22"/>
              </w:rPr>
              <w:t>Beat</w:t>
            </w:r>
          </w:p>
        </w:tc>
      </w:tr>
      <w:tr>
        <w:tc>
          <w:tcPr>
            <w:tcW w:type="dxa" w:w="1080"/>
          </w:tcPr>
          <w:p>
            <w:r>
              <w:rPr>
                <w:rFonts w:ascii="Calibri" w:hAnsi="Calibri"/>
                <w:sz w:val="22"/>
              </w:rPr>
              <w:t>Q2 2025</w:t>
            </w:r>
          </w:p>
        </w:tc>
        <w:tc>
          <w:tcPr>
            <w:tcW w:type="dxa" w:w="1080"/>
          </w:tcPr>
          <w:p>
            <w:r>
              <w:rPr>
                <w:rFonts w:ascii="Calibri" w:hAnsi="Calibri"/>
                <w:sz w:val="22"/>
              </w:rPr>
              <w:t>$1,123.1M</w:t>
            </w:r>
          </w:p>
        </w:tc>
        <w:tc>
          <w:tcPr>
            <w:tcW w:type="dxa" w:w="1080"/>
          </w:tcPr>
          <w:p>
            <w:r>
              <w:rPr>
                <w:rFonts w:ascii="Calibri" w:hAnsi="Calibri"/>
                <w:sz w:val="22"/>
              </w:rPr>
              <w:t>$1,116.4M</w:t>
            </w:r>
          </w:p>
        </w:tc>
        <w:tc>
          <w:tcPr>
            <w:tcW w:type="dxa" w:w="1080"/>
          </w:tcPr>
          <w:p>
            <w:r>
              <w:rPr>
                <w:rFonts w:ascii="Calibri" w:hAnsi="Calibri"/>
                <w:sz w:val="22"/>
              </w:rPr>
              <w:t>+0.6%</w:t>
            </w:r>
          </w:p>
        </w:tc>
        <w:tc>
          <w:tcPr>
            <w:tcW w:type="dxa" w:w="1080"/>
          </w:tcPr>
          <w:p>
            <w:r>
              <w:rPr>
                <w:rFonts w:ascii="Calibri" w:hAnsi="Calibri"/>
                <w:sz w:val="22"/>
              </w:rPr>
              <w:t>$1.39</w:t>
            </w:r>
          </w:p>
        </w:tc>
        <w:tc>
          <w:tcPr>
            <w:tcW w:type="dxa" w:w="1080"/>
          </w:tcPr>
          <w:p>
            <w:r>
              <w:rPr>
                <w:rFonts w:ascii="Calibri" w:hAnsi="Calibri"/>
                <w:sz w:val="22"/>
              </w:rPr>
              <w:t>$1.33</w:t>
            </w:r>
          </w:p>
        </w:tc>
        <w:tc>
          <w:tcPr>
            <w:tcW w:type="dxa" w:w="1080"/>
          </w:tcPr>
          <w:p>
            <w:r>
              <w:rPr>
                <w:rFonts w:ascii="Calibri" w:hAnsi="Calibri"/>
                <w:b/>
                <w:color w:val="30A46C"/>
                <w:sz w:val="22"/>
              </w:rPr>
              <w:t>+4.5%</w:t>
            </w:r>
          </w:p>
        </w:tc>
        <w:tc>
          <w:tcPr>
            <w:tcW w:type="dxa" w:w="1080"/>
          </w:tcPr>
          <w:p>
            <w:r>
              <w:rPr>
                <w:rFonts w:ascii="Calibri" w:hAnsi="Calibri"/>
                <w:b/>
                <w:color w:val="30A46C"/>
                <w:sz w:val="22"/>
              </w:rPr>
              <w:t>Beat</w:t>
            </w:r>
          </w:p>
        </w:tc>
      </w:tr>
      <w:tr>
        <w:tc>
          <w:tcPr>
            <w:tcW w:type="dxa" w:w="1080"/>
          </w:tcPr>
          <w:p>
            <w:r>
              <w:rPr>
                <w:rFonts w:ascii="Calibri" w:hAnsi="Calibri"/>
                <w:sz w:val="22"/>
              </w:rPr>
              <w:t>Q3 2025</w:t>
            </w:r>
          </w:p>
        </w:tc>
        <w:tc>
          <w:tcPr>
            <w:tcW w:type="dxa" w:w="1080"/>
          </w:tcPr>
          <w:p>
            <w:r>
              <w:rPr>
                <w:rFonts w:ascii="Calibri" w:hAnsi="Calibri"/>
                <w:sz w:val="22"/>
              </w:rPr>
              <w:t>$1,022.0M</w:t>
            </w:r>
          </w:p>
        </w:tc>
        <w:tc>
          <w:tcPr>
            <w:tcW w:type="dxa" w:w="1080"/>
          </w:tcPr>
          <w:p>
            <w:r>
              <w:rPr>
                <w:rFonts w:ascii="Calibri" w:hAnsi="Calibri"/>
                <w:sz w:val="22"/>
              </w:rPr>
              <w:t>$1,005.0M</w:t>
            </w:r>
          </w:p>
        </w:tc>
        <w:tc>
          <w:tcPr>
            <w:tcW w:type="dxa" w:w="1080"/>
          </w:tcPr>
          <w:p>
            <w:r>
              <w:rPr>
                <w:rFonts w:ascii="Calibri" w:hAnsi="Calibri"/>
                <w:sz w:val="22"/>
              </w:rPr>
              <w:t>+1.7%</w:t>
            </w:r>
          </w:p>
        </w:tc>
        <w:tc>
          <w:tcPr>
            <w:tcW w:type="dxa" w:w="1080"/>
          </w:tcPr>
          <w:p>
            <w:r>
              <w:rPr>
                <w:rFonts w:ascii="Calibri" w:hAnsi="Calibri"/>
                <w:sz w:val="22"/>
              </w:rPr>
              <w:t>$1.24</w:t>
            </w:r>
          </w:p>
        </w:tc>
        <w:tc>
          <w:tcPr>
            <w:tcW w:type="dxa" w:w="1080"/>
          </w:tcPr>
          <w:p>
            <w:r>
              <w:rPr>
                <w:rFonts w:ascii="Calibri" w:hAnsi="Calibri"/>
                <w:sz w:val="22"/>
              </w:rPr>
              <w:t>$1.18</w:t>
            </w:r>
          </w:p>
        </w:tc>
        <w:tc>
          <w:tcPr>
            <w:tcW w:type="dxa" w:w="1080"/>
          </w:tcPr>
          <w:p>
            <w:r>
              <w:rPr>
                <w:rFonts w:ascii="Calibri" w:hAnsi="Calibri"/>
                <w:b/>
                <w:color w:val="30A46C"/>
                <w:sz w:val="22"/>
              </w:rPr>
              <w:t>+5.1%</w:t>
            </w:r>
          </w:p>
        </w:tc>
        <w:tc>
          <w:tcPr>
            <w:tcW w:type="dxa" w:w="1080"/>
          </w:tcPr>
          <w:p>
            <w:r>
              <w:rPr>
                <w:rFonts w:ascii="Calibri" w:hAnsi="Calibri"/>
                <w:b/>
                <w:color w:val="30A46C"/>
                <w:sz w:val="22"/>
              </w:rPr>
              <w:t>Beat</w:t>
            </w:r>
          </w:p>
        </w:tc>
      </w:tr>
      <w:tr>
        <w:tc>
          <w:tcPr>
            <w:tcW w:type="dxa" w:w="1080"/>
          </w:tcPr>
          <w:p>
            <w:r>
              <w:rPr>
                <w:rFonts w:ascii="Calibri" w:hAnsi="Calibri"/>
                <w:sz w:val="22"/>
              </w:rPr>
              <w:t>Q4 2025</w:t>
            </w:r>
          </w:p>
        </w:tc>
        <w:tc>
          <w:tcPr>
            <w:tcW w:type="dxa" w:w="1080"/>
          </w:tcPr>
          <w:p>
            <w:r>
              <w:rPr>
                <w:rFonts w:ascii="Calibri" w:hAnsi="Calibri"/>
                <w:sz w:val="22"/>
              </w:rPr>
              <w:t>$1,020.5M</w:t>
            </w:r>
          </w:p>
        </w:tc>
        <w:tc>
          <w:tcPr>
            <w:tcW w:type="dxa" w:w="1080"/>
          </w:tcPr>
          <w:p>
            <w:r>
              <w:rPr>
                <w:rFonts w:ascii="Calibri" w:hAnsi="Calibri"/>
                <w:sz w:val="22"/>
              </w:rPr>
              <w:t>$1,009.1M</w:t>
            </w:r>
          </w:p>
        </w:tc>
        <w:tc>
          <w:tcPr>
            <w:tcW w:type="dxa" w:w="1080"/>
          </w:tcPr>
          <w:p>
            <w:r>
              <w:rPr>
                <w:rFonts w:ascii="Calibri" w:hAnsi="Calibri"/>
                <w:sz w:val="22"/>
              </w:rPr>
              <w:t>+1.1%</w:t>
            </w:r>
          </w:p>
        </w:tc>
        <w:tc>
          <w:tcPr>
            <w:tcW w:type="dxa" w:w="1080"/>
          </w:tcPr>
          <w:p>
            <w:r>
              <w:rPr>
                <w:rFonts w:ascii="Calibri" w:hAnsi="Calibri"/>
                <w:sz w:val="22"/>
              </w:rPr>
              <w:t>$1.18</w:t>
            </w:r>
          </w:p>
        </w:tc>
        <w:tc>
          <w:tcPr>
            <w:tcW w:type="dxa" w:w="1080"/>
          </w:tcPr>
          <w:p>
            <w:r>
              <w:rPr>
                <w:rFonts w:ascii="Calibri" w:hAnsi="Calibri"/>
                <w:sz w:val="22"/>
              </w:rPr>
              <w:t>$1.16</w:t>
            </w:r>
          </w:p>
        </w:tc>
        <w:tc>
          <w:tcPr>
            <w:tcW w:type="dxa" w:w="1080"/>
          </w:tcPr>
          <w:p>
            <w:r>
              <w:rPr>
                <w:rFonts w:ascii="Calibri" w:hAnsi="Calibri"/>
                <w:b/>
                <w:color w:val="30A46C"/>
                <w:sz w:val="22"/>
              </w:rPr>
              <w:t>+1.7%</w:t>
            </w:r>
          </w:p>
        </w:tc>
        <w:tc>
          <w:tcPr>
            <w:tcW w:type="dxa" w:w="1080"/>
          </w:tcPr>
          <w:p>
            <w:r>
              <w:rPr>
                <w:rFonts w:ascii="Calibri" w:hAnsi="Calibri"/>
                <w:b/>
                <w:color w:val="30A46C"/>
                <w:sz w:val="22"/>
              </w:rPr>
              <w:t>Beat</w:t>
            </w:r>
          </w:p>
        </w:tc>
      </w:tr>
      <w:tr>
        <w:tc>
          <w:tcPr>
            <w:tcW w:type="dxa" w:w="1080"/>
          </w:tcPr>
          <w:p>
            <w:r>
              <w:rPr>
                <w:rFonts w:ascii="Calibri" w:hAnsi="Calibri"/>
                <w:sz w:val="22"/>
              </w:rPr>
              <w:t>Q1 2026</w:t>
            </w:r>
          </w:p>
        </w:tc>
        <w:tc>
          <w:tcPr>
            <w:tcW w:type="dxa" w:w="1080"/>
          </w:tcPr>
          <w:p>
            <w:r>
              <w:rPr>
                <w:rFonts w:ascii="Calibri" w:hAnsi="Calibri"/>
                <w:sz w:val="22"/>
              </w:rPr>
              <w:t>$1,036.7M</w:t>
            </w:r>
          </w:p>
        </w:tc>
        <w:tc>
          <w:tcPr>
            <w:tcW w:type="dxa" w:w="1080"/>
          </w:tcPr>
          <w:p>
            <w:r>
              <w:rPr>
                <w:rFonts w:ascii="Calibri" w:hAnsi="Calibri"/>
                <w:sz w:val="22"/>
              </w:rPr>
              <w:t>$1,023.9M</w:t>
            </w:r>
          </w:p>
        </w:tc>
        <w:tc>
          <w:tcPr>
            <w:tcW w:type="dxa" w:w="1080"/>
          </w:tcPr>
          <w:p>
            <w:r>
              <w:rPr>
                <w:rFonts w:ascii="Calibri" w:hAnsi="Calibri"/>
                <w:sz w:val="22"/>
              </w:rPr>
              <w:t>+1.2%</w:t>
            </w:r>
          </w:p>
        </w:tc>
        <w:tc>
          <w:tcPr>
            <w:tcW w:type="dxa" w:w="1080"/>
          </w:tcPr>
          <w:p>
            <w:r>
              <w:rPr>
                <w:rFonts w:ascii="Calibri" w:hAnsi="Calibri"/>
                <w:sz w:val="22"/>
              </w:rPr>
              <w:t>$1.22</w:t>
            </w:r>
          </w:p>
        </w:tc>
        <w:tc>
          <w:tcPr>
            <w:tcW w:type="dxa" w:w="1080"/>
          </w:tcPr>
          <w:p>
            <w:r>
              <w:rPr>
                <w:rFonts w:ascii="Calibri" w:hAnsi="Calibri"/>
                <w:sz w:val="22"/>
              </w:rPr>
              <w:t>$1.16</w:t>
            </w:r>
          </w:p>
        </w:tc>
        <w:tc>
          <w:tcPr>
            <w:tcW w:type="dxa" w:w="1080"/>
          </w:tcPr>
          <w:p>
            <w:r>
              <w:rPr>
                <w:rFonts w:ascii="Calibri" w:hAnsi="Calibri"/>
                <w:b/>
                <w:color w:val="30A46C"/>
                <w:sz w:val="22"/>
              </w:rPr>
              <w:t>+5.2%</w:t>
            </w:r>
          </w:p>
        </w:tc>
        <w:tc>
          <w:tcPr>
            <w:tcW w:type="dxa" w:w="108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PNR has beaten on both revenue and EPS in each of the last 8 quarters, with EPS beats averaging ~4.5%. The Q2 2026 pre-announcement represents the first material guidance miss in this streak, driven entirely by the pool channel destocking event.</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The July 14 pre-announcement represents the most significant guidance cut in recent memory — </w:t>
      </w:r>
      <w:r>
        <w:rPr>
          <w:rFonts w:ascii="Calibri" w:hAnsi="Calibri"/>
          <w:b/>
          <w:color w:val="525866"/>
          <w:sz w:val="22"/>
        </w:rPr>
        <w:t>FY adjusted EPS guidance slashed by ~$0.65 at the midpoint (~12%)</w:t>
      </w:r>
      <w:r>
        <w:rPr>
          <w:rFonts w:ascii="Calibri" w:hAnsi="Calibri"/>
          <w:color w:val="525866"/>
          <w:sz w:val="22"/>
        </w:rPr>
        <w:t xml:space="preserve"> and revenue guide flipped from +2–4% to -4–7%, entirely driven by pool channel destocking that management now estimates at ~$250M in full-year Pool sales impact.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28)</w:t>
            </w:r>
          </w:p>
        </w:tc>
        <w:tc>
          <w:tcPr>
            <w:tcW w:type="dxa" w:w="1728"/>
            <w:shd w:val="clear" w:color="auto" w:fill="3B4259"/>
          </w:tcPr>
          <w:p>
            <w:r>
              <w:rPr>
                <w:rFonts w:ascii="Calibri" w:hAnsi="Calibri"/>
                <w:b/>
                <w:color w:val="FFFFFF"/>
                <w:sz w:val="22"/>
              </w:rPr>
              <w:t>Revised Guidance (July 14 Pre-Ann.)</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Adj. EPS</w:t>
            </w:r>
          </w:p>
        </w:tc>
        <w:tc>
          <w:tcPr>
            <w:tcW w:type="dxa" w:w="1728"/>
          </w:tcPr>
          <w:p>
            <w:r>
              <w:rPr>
                <w:rFonts w:ascii="Calibri" w:hAnsi="Calibri"/>
                <w:sz w:val="22"/>
              </w:rPr>
              <w:t>$5.30–$5.40</w:t>
            </w:r>
          </w:p>
        </w:tc>
        <w:tc>
          <w:tcPr>
            <w:tcW w:type="dxa" w:w="1728"/>
          </w:tcPr>
          <w:p>
            <w:r>
              <w:rPr>
                <w:rFonts w:ascii="Calibri" w:hAnsi="Calibri"/>
                <w:b/>
                <w:color w:val="E5484D"/>
                <w:sz w:val="22"/>
              </w:rPr>
              <w:t>$4.60–$4.80</w:t>
            </w:r>
          </w:p>
        </w:tc>
        <w:tc>
          <w:tcPr>
            <w:tcW w:type="dxa" w:w="1728"/>
          </w:tcPr>
          <w:p>
            <w:r>
              <w:rPr>
                <w:rFonts w:ascii="Calibri" w:hAnsi="Calibri"/>
                <w:sz w:val="22"/>
              </w:rPr>
              <w:t>~$4.84</w:t>
            </w:r>
          </w:p>
        </w:tc>
        <w:tc>
          <w:tcPr>
            <w:tcW w:type="dxa" w:w="1728"/>
          </w:tcPr>
          <w:p>
            <w:r>
              <w:rPr>
                <w:rFonts w:ascii="Calibri" w:hAnsi="Calibri"/>
                <w:sz w:val="22"/>
              </w:rPr>
              <w:t>↓ Lowered July 14; pool channel destocking; IEEPA refunds partially offset</w:t>
            </w:r>
          </w:p>
        </w:tc>
      </w:tr>
      <w:tr>
        <w:tc>
          <w:tcPr>
            <w:tcW w:type="dxa" w:w="1728"/>
          </w:tcPr>
          <w:p>
            <w:r>
              <w:rPr>
                <w:rFonts w:ascii="Calibri" w:hAnsi="Calibri"/>
                <w:sz w:val="22"/>
              </w:rPr>
              <w:t>FY2026 Net Sales</w:t>
            </w:r>
          </w:p>
        </w:tc>
        <w:tc>
          <w:tcPr>
            <w:tcW w:type="dxa" w:w="1728"/>
          </w:tcPr>
          <w:p>
            <w:r>
              <w:rPr>
                <w:rFonts w:ascii="Calibri" w:hAnsi="Calibri"/>
                <w:sz w:val="22"/>
              </w:rPr>
              <w:t>+2% to +4%</w:t>
            </w:r>
          </w:p>
        </w:tc>
        <w:tc>
          <w:tcPr>
            <w:tcW w:type="dxa" w:w="1728"/>
          </w:tcPr>
          <w:p>
            <w:r>
              <w:rPr>
                <w:rFonts w:ascii="Calibri" w:hAnsi="Calibri"/>
                <w:b/>
                <w:color w:val="E5484D"/>
                <w:sz w:val="22"/>
              </w:rPr>
              <w:t>-4% to -7%</w:t>
            </w:r>
          </w:p>
        </w:tc>
        <w:tc>
          <w:tcPr>
            <w:tcW w:type="dxa" w:w="1728"/>
          </w:tcPr>
          <w:p>
            <w:r>
              <w:rPr>
                <w:rFonts w:ascii="Calibri" w:hAnsi="Calibri"/>
                <w:sz w:val="22"/>
              </w:rPr>
              <w:t>~$4.02B</w:t>
            </w:r>
          </w:p>
        </w:tc>
        <w:tc>
          <w:tcPr>
            <w:tcW w:type="dxa" w:w="1728"/>
          </w:tcPr>
          <w:p>
            <w:r>
              <w:rPr>
                <w:rFonts w:ascii="Calibri" w:hAnsi="Calibri"/>
                <w:sz w:val="22"/>
              </w:rPr>
              <w:t>↓ Massive cut; pool destocking ~$250M headwind; Flow/WS in line</w:t>
            </w:r>
          </w:p>
        </w:tc>
      </w:tr>
      <w:tr>
        <w:tc>
          <w:tcPr>
            <w:tcW w:type="dxa" w:w="1728"/>
          </w:tcPr>
          <w:p>
            <w:r>
              <w:rPr>
                <w:rFonts w:ascii="Calibri" w:hAnsi="Calibri"/>
                <w:sz w:val="22"/>
              </w:rPr>
              <w:t>FY2026 Adj. Op. Income</w:t>
            </w:r>
          </w:p>
        </w:tc>
        <w:tc>
          <w:tcPr>
            <w:tcW w:type="dxa" w:w="1728"/>
          </w:tcPr>
          <w:p>
            <w:r>
              <w:rPr>
                <w:rFonts w:ascii="Calibri" w:hAnsi="Calibri"/>
                <w:sz w:val="22"/>
              </w:rPr>
              <w:t>+6% to +8%</w:t>
            </w:r>
          </w:p>
        </w:tc>
        <w:tc>
          <w:tcPr>
            <w:tcW w:type="dxa" w:w="1728"/>
          </w:tcPr>
          <w:p>
            <w:r>
              <w:rPr>
                <w:rFonts w:ascii="Calibri" w:hAnsi="Calibri"/>
                <w:b/>
                <w:color w:val="E5484D"/>
                <w:sz w:val="22"/>
              </w:rPr>
              <w:t>-5% to -9%</w:t>
            </w:r>
          </w:p>
        </w:tc>
        <w:tc>
          <w:tcPr>
            <w:tcW w:type="dxa" w:w="1728"/>
          </w:tcPr>
          <w:p>
            <w:r>
              <w:rPr>
                <w:rFonts w:ascii="Calibri" w:hAnsi="Calibri"/>
                <w:sz w:val="22"/>
              </w:rPr>
              <w:t>~$1.01B</w:t>
            </w:r>
          </w:p>
        </w:tc>
        <w:tc>
          <w:tcPr>
            <w:tcW w:type="dxa" w:w="1728"/>
          </w:tcPr>
          <w:p>
            <w:r>
              <w:rPr>
                <w:rFonts w:ascii="Calibri" w:hAnsi="Calibri"/>
                <w:sz w:val="22"/>
              </w:rPr>
              <w:t>↓ Reflects pool income impact of ~$155M for full year</w:t>
            </w:r>
          </w:p>
        </w:tc>
      </w:tr>
      <w:tr>
        <w:tc>
          <w:tcPr>
            <w:tcW w:type="dxa" w:w="1728"/>
          </w:tcPr>
          <w:p>
            <w:r>
              <w:rPr>
                <w:rFonts w:ascii="Calibri" w:hAnsi="Calibri"/>
                <w:sz w:val="22"/>
              </w:rPr>
              <w:t>FY2026 Adj. ROS</w:t>
            </w:r>
          </w:p>
        </w:tc>
        <w:tc>
          <w:tcPr>
            <w:tcW w:type="dxa" w:w="1728"/>
          </w:tcPr>
          <w:p>
            <w:r>
              <w:rPr>
                <w:rFonts w:ascii="Calibri" w:hAnsi="Calibri"/>
                <w:sz w:val="22"/>
              </w:rPr>
              <w:t>~26% (+100 bps)</w:t>
            </w:r>
          </w:p>
        </w:tc>
        <w:tc>
          <w:tcPr>
            <w:tcW w:type="dxa" w:w="1728"/>
          </w:tcPr>
          <w:p>
            <w:r>
              <w:rPr>
                <w:rFonts w:ascii="Calibri" w:hAnsi="Calibri"/>
                <w:i/>
                <w:sz w:val="22"/>
              </w:rPr>
              <w:t>Not re-stated</w:t>
            </w:r>
          </w:p>
        </w:tc>
        <w:tc>
          <w:tcPr>
            <w:tcW w:type="dxa" w:w="1728"/>
          </w:tcPr>
          <w:p>
            <w:r>
              <w:rPr>
                <w:rFonts w:ascii="Calibri" w:hAnsi="Calibri"/>
                <w:sz w:val="22"/>
              </w:rPr>
              <w:t>~25.1%</w:t>
            </w:r>
          </w:p>
        </w:tc>
        <w:tc>
          <w:tcPr>
            <w:tcW w:type="dxa" w:w="1728"/>
          </w:tcPr>
          <w:p>
            <w:r>
              <w:rPr>
                <w:rFonts w:ascii="Calibri" w:hAnsi="Calibri"/>
                <w:sz w:val="22"/>
              </w:rPr>
              <w:t>Margin expansion story now at risk for 2026</w:t>
            </w:r>
          </w:p>
        </w:tc>
      </w:tr>
      <w:tr>
        <w:tc>
          <w:tcPr>
            <w:tcW w:type="dxa" w:w="1728"/>
          </w:tcPr>
          <w:p>
            <w:r>
              <w:rPr>
                <w:rFonts w:ascii="Calibri" w:hAnsi="Calibri"/>
                <w:sz w:val="22"/>
              </w:rPr>
              <w:t>Q2 2026 Adj. EPS</w:t>
            </w:r>
          </w:p>
        </w:tc>
        <w:tc>
          <w:tcPr>
            <w:tcW w:type="dxa" w:w="1728"/>
          </w:tcPr>
          <w:p>
            <w:r>
              <w:rPr>
                <w:rFonts w:ascii="Calibri" w:hAnsi="Calibri"/>
                <w:sz w:val="22"/>
              </w:rPr>
              <w:t>$1.47–$1.50</w:t>
            </w:r>
          </w:p>
        </w:tc>
        <w:tc>
          <w:tcPr>
            <w:tcW w:type="dxa" w:w="1728"/>
          </w:tcPr>
          <w:p>
            <w:r>
              <w:rPr>
                <w:rFonts w:ascii="Calibri" w:hAnsi="Calibri"/>
                <w:b/>
                <w:color w:val="E5484D"/>
                <w:sz w:val="22"/>
              </w:rPr>
              <w:t>~$1.12 (prelim)</w:t>
            </w:r>
          </w:p>
        </w:tc>
        <w:tc>
          <w:tcPr>
            <w:tcW w:type="dxa" w:w="1728"/>
          </w:tcPr>
          <w:p>
            <w:r>
              <w:rPr>
                <w:rFonts w:ascii="Calibri" w:hAnsi="Calibri"/>
                <w:sz w:val="22"/>
              </w:rPr>
              <w:t>~$1.21</w:t>
            </w:r>
          </w:p>
        </w:tc>
        <w:tc>
          <w:tcPr>
            <w:tcW w:type="dxa" w:w="1728"/>
          </w:tcPr>
          <w:p>
            <w:r>
              <w:rPr>
                <w:rFonts w:ascii="Calibri" w:hAnsi="Calibri"/>
                <w:sz w:val="22"/>
              </w:rPr>
              <w:t>↓ Pre-announced July 14; pool destocking -$105M income impact</w:t>
            </w:r>
          </w:p>
        </w:tc>
      </w:tr>
      <w:tr>
        <w:tc>
          <w:tcPr>
            <w:tcW w:type="dxa" w:w="1728"/>
          </w:tcPr>
          <w:p>
            <w:r>
              <w:rPr>
                <w:rFonts w:ascii="Calibri" w:hAnsi="Calibri"/>
                <w:sz w:val="22"/>
              </w:rPr>
              <w:t>Q2 2026 Net Sales</w:t>
            </w:r>
          </w:p>
        </w:tc>
        <w:tc>
          <w:tcPr>
            <w:tcW w:type="dxa" w:w="1728"/>
          </w:tcPr>
          <w:p>
            <w:r>
              <w:rPr>
                <w:rFonts w:ascii="Calibri" w:hAnsi="Calibri"/>
                <w:sz w:val="22"/>
              </w:rPr>
              <w:t>+~1% (~$1,134M)</w:t>
            </w:r>
          </w:p>
        </w:tc>
        <w:tc>
          <w:tcPr>
            <w:tcW w:type="dxa" w:w="1728"/>
          </w:tcPr>
          <w:p>
            <w:r>
              <w:rPr>
                <w:rFonts w:ascii="Calibri" w:hAnsi="Calibri"/>
                <w:b/>
                <w:color w:val="E5484D"/>
                <w:sz w:val="22"/>
              </w:rPr>
              <w:t>~$930M (prelim)</w:t>
            </w:r>
          </w:p>
        </w:tc>
        <w:tc>
          <w:tcPr>
            <w:tcW w:type="dxa" w:w="1728"/>
          </w:tcPr>
          <w:p>
            <w:r>
              <w:rPr>
                <w:rFonts w:ascii="Calibri" w:hAnsi="Calibri"/>
                <w:sz w:val="22"/>
              </w:rPr>
              <w:t>~$930M</w:t>
            </w:r>
          </w:p>
        </w:tc>
        <w:tc>
          <w:tcPr>
            <w:tcW w:type="dxa" w:w="1728"/>
          </w:tcPr>
          <w:p>
            <w:r>
              <w:rPr>
                <w:rFonts w:ascii="Calibri" w:hAnsi="Calibri"/>
                <w:sz w:val="22"/>
              </w:rPr>
              <w:t>↓ -17% vs. prior guide; pool channel inventory realignment</w:t>
            </w:r>
          </w:p>
        </w:tc>
      </w:tr>
      <w:tr>
        <w:tc>
          <w:tcPr>
            <w:tcW w:type="dxa" w:w="1728"/>
          </w:tcPr>
          <w:p>
            <w:r>
              <w:rPr>
                <w:rFonts w:ascii="Calibri" w:hAnsi="Calibri"/>
                <w:sz w:val="22"/>
              </w:rPr>
              <w:t>Pool FY2026 Sales</w:t>
            </w:r>
          </w:p>
        </w:tc>
        <w:tc>
          <w:tcPr>
            <w:tcW w:type="dxa" w:w="1728"/>
          </w:tcPr>
          <w:p>
            <w:r>
              <w:rPr>
                <w:rFonts w:ascii="Calibri" w:hAnsi="Calibri"/>
                <w:sz w:val="22"/>
              </w:rPr>
              <w:t>+1% to +3%</w:t>
            </w:r>
          </w:p>
        </w:tc>
        <w:tc>
          <w:tcPr>
            <w:tcW w:type="dxa" w:w="1728"/>
          </w:tcPr>
          <w:p>
            <w:r>
              <w:rPr>
                <w:rFonts w:ascii="Calibri" w:hAnsi="Calibri"/>
                <w:b/>
                <w:color w:val="E5484D"/>
                <w:sz w:val="22"/>
              </w:rPr>
              <w:t>Implied -15% to -20%</w:t>
            </w:r>
          </w:p>
        </w:tc>
        <w:tc>
          <w:tcPr>
            <w:tcW w:type="dxa" w:w="1728"/>
          </w:tcPr>
          <w:p>
            <w:r>
              <w:rPr>
                <w:rFonts w:ascii="Calibri" w:hAnsi="Calibri"/>
                <w:sz w:val="22"/>
              </w:rPr>
              <w:t>~$1.35B</w:t>
            </w:r>
          </w:p>
        </w:tc>
        <w:tc>
          <w:tcPr>
            <w:tcW w:type="dxa" w:w="1728"/>
          </w:tcPr>
          <w:p>
            <w:r>
              <w:rPr>
                <w:rFonts w:ascii="Calibri" w:hAnsi="Calibri"/>
                <w:sz w:val="22"/>
              </w:rPr>
              <w:t>~$250M destocking headwind vs. prior guide</w:t>
            </w:r>
          </w:p>
        </w:tc>
      </w:tr>
      <w:tr>
        <w:tc>
          <w:tcPr>
            <w:tcW w:type="dxa" w:w="1728"/>
          </w:tcPr>
          <w:p>
            <w:r>
              <w:rPr>
                <w:rFonts w:ascii="Calibri" w:hAnsi="Calibri"/>
                <w:sz w:val="22"/>
              </w:rPr>
              <w:t>FY2026 IEEPA Refunds</w:t>
            </w:r>
          </w:p>
        </w:tc>
        <w:tc>
          <w:tcPr>
            <w:tcW w:type="dxa" w:w="1728"/>
          </w:tcPr>
          <w:p>
            <w:r>
              <w:rPr>
                <w:rFonts w:ascii="Calibri" w:hAnsi="Calibri"/>
                <w:sz w:val="22"/>
              </w:rPr>
              <w:t>Not included</w:t>
            </w:r>
          </w:p>
        </w:tc>
        <w:tc>
          <w:tcPr>
            <w:tcW w:type="dxa" w:w="1728"/>
          </w:tcPr>
          <w:p>
            <w:r>
              <w:rPr>
                <w:rFonts w:ascii="Calibri" w:hAnsi="Calibri"/>
                <w:b/>
                <w:color w:val="30A46C"/>
                <w:sz w:val="22"/>
              </w:rPr>
              <w:t>$35M–$50M</w:t>
            </w:r>
          </w:p>
        </w:tc>
        <w:tc>
          <w:tcPr>
            <w:tcW w:type="dxa" w:w="1728"/>
          </w:tcPr>
          <w:p>
            <w:r>
              <w:rPr>
                <w:rFonts w:ascii="Calibri" w:hAnsi="Calibri"/>
                <w:sz w:val="22"/>
              </w:rPr>
              <w:t>—</w:t>
            </w:r>
          </w:p>
        </w:tc>
        <w:tc>
          <w:tcPr>
            <w:tcW w:type="dxa" w:w="1728"/>
          </w:tcPr>
          <w:p>
            <w:r>
              <w:rPr>
                <w:rFonts w:ascii="Calibri" w:hAnsi="Calibri"/>
                <w:sz w:val="22"/>
              </w:rPr>
              <w:t>Partial offset to pool headwind; new item in revised guide</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collapsed post-July 14 pre-announcement; </w:t>
      </w:r>
      <w:r>
        <w:rPr>
          <w:rFonts w:ascii="Calibri" w:hAnsi="Calibri"/>
          <w:b/>
          <w:color w:val="525866"/>
          <w:sz w:val="22"/>
        </w:rPr>
        <w:t>FY2026 adjusted EPS consensus fell ~10% from the post-Q1 baseline of ~$5.36 to ~$4.84 currently</w:t>
      </w:r>
      <w:r>
        <w:rPr>
          <w:rFonts w:ascii="Calibri" w:hAnsi="Calibri"/>
          <w:color w:val="525866"/>
          <w:sz w:val="22"/>
        </w:rPr>
        <w:t>, still sitting ~3% above the revised guidance midpoint of $4.70 — suggesting modest residual downside risk if H2 pool recovery disappoints.</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KPI</w:t>
            </w:r>
          </w:p>
        </w:tc>
        <w:tc>
          <w:tcPr>
            <w:tcW w:type="dxa" w:w="960"/>
            <w:shd w:val="clear" w:color="auto" w:fill="3B4259"/>
          </w:tcPr>
          <w:p>
            <w:r>
              <w:rPr>
                <w:rFonts w:ascii="Calibri" w:hAnsi="Calibri"/>
                <w:b/>
                <w:color w:val="FFFFFF"/>
                <w:sz w:val="22"/>
              </w:rPr>
              <w:t>Period</w:t>
            </w:r>
          </w:p>
        </w:tc>
        <w:tc>
          <w:tcPr>
            <w:tcW w:type="dxa" w:w="960"/>
            <w:shd w:val="clear" w:color="auto" w:fill="3B4259"/>
          </w:tcPr>
          <w:p>
            <w:r>
              <w:rPr>
                <w:rFonts w:ascii="Calibri" w:hAnsi="Calibri"/>
                <w:b/>
                <w:color w:val="FFFFFF"/>
                <w:sz w:val="22"/>
              </w:rPr>
              <w:t>Estimate (May 5, 2026 — Post-Q1 Baseline)</w:t>
            </w:r>
          </w:p>
        </w:tc>
        <w:tc>
          <w:tcPr>
            <w:tcW w:type="dxa" w:w="960"/>
            <w:shd w:val="clear" w:color="auto" w:fill="3B4259"/>
          </w:tcPr>
          <w:p>
            <w:r>
              <w:rPr>
                <w:rFonts w:ascii="Calibri" w:hAnsi="Calibri"/>
                <w:b/>
                <w:color w:val="FFFFFF"/>
                <w:sz w:val="22"/>
              </w:rPr>
              <w:t>Current Consensus</w:t>
            </w:r>
          </w:p>
        </w:tc>
        <w:tc>
          <w:tcPr>
            <w:tcW w:type="dxa" w:w="960"/>
            <w:shd w:val="clear" w:color="auto" w:fill="3B4259"/>
          </w:tcPr>
          <w:p>
            <w:r>
              <w:rPr>
                <w:rFonts w:ascii="Calibri" w:hAnsi="Calibri"/>
                <w:b/>
                <w:color w:val="FFFFFF"/>
                <w:sz w:val="22"/>
              </w:rPr>
              <w:t>Estimate Δ (%)</w:t>
            </w:r>
          </w:p>
        </w:tc>
        <w:tc>
          <w:tcPr>
            <w:tcW w:type="dxa" w:w="960"/>
            <w:shd w:val="clear" w:color="auto" w:fill="3B4259"/>
          </w:tcPr>
          <w:p>
            <w:r>
              <w:rPr>
                <w:rFonts w:ascii="Calibri" w:hAnsi="Calibri"/>
                <w:b/>
                <w:color w:val="FFFFFF"/>
                <w:sz w:val="22"/>
              </w:rPr>
              <w:t>Initial Guidance (Q1 Call)</w:t>
            </w:r>
          </w:p>
        </w:tc>
        <w:tc>
          <w:tcPr>
            <w:tcW w:type="dxa" w:w="960"/>
            <w:shd w:val="clear" w:color="auto" w:fill="3B4259"/>
          </w:tcPr>
          <w:p>
            <w:r>
              <w:rPr>
                <w:rFonts w:ascii="Calibri" w:hAnsi="Calibri"/>
                <w:b/>
                <w:color w:val="FFFFFF"/>
                <w:sz w:val="22"/>
              </w:rPr>
              <w:t>Current Guidance (July 14)</w:t>
            </w:r>
          </w:p>
        </w:tc>
        <w:tc>
          <w:tcPr>
            <w:tcW w:type="dxa" w:w="960"/>
            <w:shd w:val="clear" w:color="auto" w:fill="3B4259"/>
          </w:tcPr>
          <w:p>
            <w:r>
              <w:rPr>
                <w:rFonts w:ascii="Calibri" w:hAnsi="Calibri"/>
                <w:b/>
                <w:color w:val="FFFFFF"/>
                <w:sz w:val="22"/>
              </w:rPr>
              <w:t>Guidance Δ</w:t>
            </w:r>
          </w:p>
        </w:tc>
        <w:tc>
          <w:tcPr>
            <w:tcW w:type="dxa" w:w="960"/>
            <w:shd w:val="clear" w:color="auto" w:fill="3B4259"/>
          </w:tcPr>
          <w:p>
            <w:r>
              <w:rPr>
                <w:rFonts w:ascii="Calibri" w:hAnsi="Calibri"/>
                <w:b/>
                <w:color w:val="FFFFFF"/>
                <w:sz w:val="22"/>
              </w:rPr>
              <w:t>Cons. vs. Current Guide</w:t>
            </w:r>
          </w:p>
        </w:tc>
      </w:tr>
      <w:tr>
        <w:tc>
          <w:tcPr>
            <w:tcW w:type="dxa" w:w="960"/>
          </w:tcPr>
          <w:p>
            <w:r>
              <w:rPr>
                <w:rFonts w:ascii="Calibri" w:hAnsi="Calibri"/>
                <w:sz w:val="22"/>
              </w:rPr>
              <w:t>Net Sales</w:t>
            </w:r>
          </w:p>
        </w:tc>
        <w:tc>
          <w:tcPr>
            <w:tcW w:type="dxa" w:w="960"/>
          </w:tcPr>
          <w:p>
            <w:r>
              <w:rPr>
                <w:rFonts w:ascii="Calibri" w:hAnsi="Calibri"/>
                <w:sz w:val="22"/>
              </w:rPr>
              <w:t>Q2 2026</w:t>
            </w:r>
          </w:p>
        </w:tc>
        <w:tc>
          <w:tcPr>
            <w:tcW w:type="dxa" w:w="960"/>
          </w:tcPr>
          <w:p>
            <w:r>
              <w:rPr>
                <w:rFonts w:ascii="Calibri" w:hAnsi="Calibri"/>
                <w:sz w:val="22"/>
              </w:rPr>
              <w:t>~$1,138M</w:t>
            </w:r>
          </w:p>
        </w:tc>
        <w:tc>
          <w:tcPr>
            <w:tcW w:type="dxa" w:w="960"/>
          </w:tcPr>
          <w:p>
            <w:r>
              <w:rPr>
                <w:rFonts w:ascii="Calibri" w:hAnsi="Calibri"/>
                <w:sz w:val="22"/>
              </w:rPr>
              <w:t>~$930M</w:t>
            </w:r>
          </w:p>
        </w:tc>
        <w:tc>
          <w:tcPr>
            <w:tcW w:type="dxa" w:w="960"/>
          </w:tcPr>
          <w:p>
            <w:r>
              <w:rPr>
                <w:rFonts w:ascii="Calibri" w:hAnsi="Calibri"/>
                <w:b/>
                <w:color w:val="E5484D"/>
                <w:sz w:val="22"/>
              </w:rPr>
              <w:t>-18.3%</w:t>
            </w:r>
          </w:p>
        </w:tc>
        <w:tc>
          <w:tcPr>
            <w:tcW w:type="dxa" w:w="960"/>
          </w:tcPr>
          <w:p>
            <w:r>
              <w:rPr>
                <w:rFonts w:ascii="Calibri" w:hAnsi="Calibri"/>
                <w:sz w:val="22"/>
              </w:rPr>
              <w:t>+~1% (~$1,134M)</w:t>
            </w:r>
          </w:p>
        </w:tc>
        <w:tc>
          <w:tcPr>
            <w:tcW w:type="dxa" w:w="960"/>
          </w:tcPr>
          <w:p>
            <w:r>
              <w:rPr>
                <w:rFonts w:ascii="Calibri" w:hAnsi="Calibri"/>
                <w:sz w:val="22"/>
              </w:rPr>
              <w:t>~$930M (prelim)</w:t>
            </w:r>
          </w:p>
        </w:tc>
        <w:tc>
          <w:tcPr>
            <w:tcW w:type="dxa" w:w="960"/>
          </w:tcPr>
          <w:p>
            <w:r>
              <w:rPr>
                <w:rFonts w:ascii="Calibri" w:hAnsi="Calibri"/>
                <w:sz w:val="22"/>
              </w:rPr>
              <w:t>-17.9%</w:t>
            </w:r>
          </w:p>
        </w:tc>
        <w:tc>
          <w:tcPr>
            <w:tcW w:type="dxa" w:w="960"/>
          </w:tcPr>
          <w:p>
            <w:r>
              <w:rPr>
                <w:rFonts w:ascii="Calibri" w:hAnsi="Calibri"/>
                <w:sz w:val="22"/>
              </w:rPr>
              <w:t>In line with prelim</w:t>
            </w:r>
          </w:p>
        </w:tc>
      </w:tr>
      <w:tr>
        <w:tc>
          <w:tcPr>
            <w:tcW w:type="dxa" w:w="960"/>
          </w:tcPr>
          <w:p>
            <w:r>
              <w:rPr>
                <w:rFonts w:ascii="Calibri" w:hAnsi="Calibri"/>
                <w:sz w:val="22"/>
              </w:rPr>
              <w:t>Net Sales</w:t>
            </w:r>
          </w:p>
        </w:tc>
        <w:tc>
          <w:tcPr>
            <w:tcW w:type="dxa" w:w="960"/>
          </w:tcPr>
          <w:p>
            <w:r>
              <w:rPr>
                <w:rFonts w:ascii="Calibri" w:hAnsi="Calibri"/>
                <w:sz w:val="22"/>
              </w:rPr>
              <w:t>FY2026</w:t>
            </w:r>
          </w:p>
        </w:tc>
        <w:tc>
          <w:tcPr>
            <w:tcW w:type="dxa" w:w="960"/>
          </w:tcPr>
          <w:p>
            <w:r>
              <w:rPr>
                <w:rFonts w:ascii="Calibri" w:hAnsi="Calibri"/>
                <w:sz w:val="22"/>
              </w:rPr>
              <w:t>~$4,283M</w:t>
            </w:r>
          </w:p>
        </w:tc>
        <w:tc>
          <w:tcPr>
            <w:tcW w:type="dxa" w:w="960"/>
          </w:tcPr>
          <w:p>
            <w:r>
              <w:rPr>
                <w:rFonts w:ascii="Calibri" w:hAnsi="Calibri"/>
                <w:sz w:val="22"/>
              </w:rPr>
              <w:t>~$4,017M</w:t>
            </w:r>
          </w:p>
        </w:tc>
        <w:tc>
          <w:tcPr>
            <w:tcW w:type="dxa" w:w="960"/>
          </w:tcPr>
          <w:p>
            <w:r>
              <w:rPr>
                <w:rFonts w:ascii="Calibri" w:hAnsi="Calibri"/>
                <w:b/>
                <w:color w:val="E5484D"/>
                <w:sz w:val="22"/>
              </w:rPr>
              <w:t>-6.2%</w:t>
            </w:r>
          </w:p>
        </w:tc>
        <w:tc>
          <w:tcPr>
            <w:tcW w:type="dxa" w:w="960"/>
          </w:tcPr>
          <w:p>
            <w:r>
              <w:rPr>
                <w:rFonts w:ascii="Calibri" w:hAnsi="Calibri"/>
                <w:sz w:val="22"/>
              </w:rPr>
              <w:t>+2% to +4%</w:t>
            </w:r>
          </w:p>
        </w:tc>
        <w:tc>
          <w:tcPr>
            <w:tcW w:type="dxa" w:w="960"/>
          </w:tcPr>
          <w:p>
            <w:r>
              <w:rPr>
                <w:rFonts w:ascii="Calibri" w:hAnsi="Calibri"/>
                <w:sz w:val="22"/>
              </w:rPr>
              <w:t>-4% to -7%</w:t>
            </w:r>
          </w:p>
        </w:tc>
        <w:tc>
          <w:tcPr>
            <w:tcW w:type="dxa" w:w="960"/>
          </w:tcPr>
          <w:p>
            <w:r>
              <w:rPr>
                <w:rFonts w:ascii="Calibri" w:hAnsi="Calibri"/>
                <w:sz w:val="22"/>
              </w:rPr>
              <w:t>~-9% swing</w:t>
            </w:r>
          </w:p>
        </w:tc>
        <w:tc>
          <w:tcPr>
            <w:tcW w:type="dxa" w:w="960"/>
          </w:tcPr>
          <w:p>
            <w:r>
              <w:rPr>
                <w:rFonts w:ascii="Calibri" w:hAnsi="Calibri"/>
                <w:sz w:val="22"/>
              </w:rPr>
              <w:t>~+1% above guide midpoint</w:t>
            </w:r>
          </w:p>
        </w:tc>
      </w:tr>
      <w:tr>
        <w:tc>
          <w:tcPr>
            <w:tcW w:type="dxa" w:w="960"/>
          </w:tcPr>
          <w:p>
            <w:r>
              <w:rPr>
                <w:rFonts w:ascii="Calibri" w:hAnsi="Calibri"/>
                <w:sz w:val="22"/>
              </w:rPr>
              <w:t>Adj. EPS</w:t>
            </w:r>
          </w:p>
        </w:tc>
        <w:tc>
          <w:tcPr>
            <w:tcW w:type="dxa" w:w="960"/>
          </w:tcPr>
          <w:p>
            <w:r>
              <w:rPr>
                <w:rFonts w:ascii="Calibri" w:hAnsi="Calibri"/>
                <w:sz w:val="22"/>
              </w:rPr>
              <w:t>Q2 2026</w:t>
            </w:r>
          </w:p>
        </w:tc>
        <w:tc>
          <w:tcPr>
            <w:tcW w:type="dxa" w:w="960"/>
          </w:tcPr>
          <w:p>
            <w:r>
              <w:rPr>
                <w:rFonts w:ascii="Calibri" w:hAnsi="Calibri"/>
                <w:sz w:val="22"/>
              </w:rPr>
              <w:t>~$1.48</w:t>
            </w:r>
          </w:p>
        </w:tc>
        <w:tc>
          <w:tcPr>
            <w:tcW w:type="dxa" w:w="960"/>
          </w:tcPr>
          <w:p>
            <w:r>
              <w:rPr>
                <w:rFonts w:ascii="Calibri" w:hAnsi="Calibri"/>
                <w:sz w:val="22"/>
              </w:rPr>
              <w:t>~$1.21</w:t>
            </w:r>
          </w:p>
        </w:tc>
        <w:tc>
          <w:tcPr>
            <w:tcW w:type="dxa" w:w="960"/>
          </w:tcPr>
          <w:p>
            <w:r>
              <w:rPr>
                <w:rFonts w:ascii="Calibri" w:hAnsi="Calibri"/>
                <w:b/>
                <w:color w:val="E5484D"/>
                <w:sz w:val="22"/>
              </w:rPr>
              <w:t>-18.2%</w:t>
            </w:r>
          </w:p>
        </w:tc>
        <w:tc>
          <w:tcPr>
            <w:tcW w:type="dxa" w:w="960"/>
          </w:tcPr>
          <w:p>
            <w:r>
              <w:rPr>
                <w:rFonts w:ascii="Calibri" w:hAnsi="Calibri"/>
                <w:sz w:val="22"/>
              </w:rPr>
              <w:t>$1.47–$1.50</w:t>
            </w:r>
          </w:p>
        </w:tc>
        <w:tc>
          <w:tcPr>
            <w:tcW w:type="dxa" w:w="960"/>
          </w:tcPr>
          <w:p>
            <w:r>
              <w:rPr>
                <w:rFonts w:ascii="Calibri" w:hAnsi="Calibri"/>
                <w:sz w:val="22"/>
              </w:rPr>
              <w:t>~$1.12 (prelim)</w:t>
            </w:r>
          </w:p>
        </w:tc>
        <w:tc>
          <w:tcPr>
            <w:tcW w:type="dxa" w:w="960"/>
          </w:tcPr>
          <w:p>
            <w:r>
              <w:rPr>
                <w:rFonts w:ascii="Calibri" w:hAnsi="Calibri"/>
                <w:sz w:val="22"/>
              </w:rPr>
              <w:t>-25%</w:t>
            </w:r>
          </w:p>
        </w:tc>
        <w:tc>
          <w:tcPr>
            <w:tcW w:type="dxa" w:w="960"/>
          </w:tcPr>
          <w:p>
            <w:r>
              <w:rPr>
                <w:rFonts w:ascii="Calibri" w:hAnsi="Calibri"/>
                <w:sz w:val="22"/>
              </w:rPr>
              <w:t>+8% above prelim</w:t>
            </w:r>
          </w:p>
        </w:tc>
      </w:tr>
      <w:tr>
        <w:tc>
          <w:tcPr>
            <w:tcW w:type="dxa" w:w="960"/>
          </w:tcPr>
          <w:p>
            <w:r>
              <w:rPr>
                <w:rFonts w:ascii="Calibri" w:hAnsi="Calibri"/>
                <w:sz w:val="22"/>
              </w:rPr>
              <w:t>Adj. EPS</w:t>
            </w:r>
          </w:p>
        </w:tc>
        <w:tc>
          <w:tcPr>
            <w:tcW w:type="dxa" w:w="960"/>
          </w:tcPr>
          <w:p>
            <w:r>
              <w:rPr>
                <w:rFonts w:ascii="Calibri" w:hAnsi="Calibri"/>
                <w:sz w:val="22"/>
              </w:rPr>
              <w:t>FY2026</w:t>
            </w:r>
          </w:p>
        </w:tc>
        <w:tc>
          <w:tcPr>
            <w:tcW w:type="dxa" w:w="960"/>
          </w:tcPr>
          <w:p>
            <w:r>
              <w:rPr>
                <w:rFonts w:ascii="Calibri" w:hAnsi="Calibri"/>
                <w:sz w:val="22"/>
              </w:rPr>
              <w:t>~$5.36</w:t>
            </w:r>
          </w:p>
        </w:tc>
        <w:tc>
          <w:tcPr>
            <w:tcW w:type="dxa" w:w="960"/>
          </w:tcPr>
          <w:p>
            <w:r>
              <w:rPr>
                <w:rFonts w:ascii="Calibri" w:hAnsi="Calibri"/>
                <w:sz w:val="22"/>
              </w:rPr>
              <w:t>~$4.84</w:t>
            </w:r>
          </w:p>
        </w:tc>
        <w:tc>
          <w:tcPr>
            <w:tcW w:type="dxa" w:w="960"/>
          </w:tcPr>
          <w:p>
            <w:r>
              <w:rPr>
                <w:rFonts w:ascii="Calibri" w:hAnsi="Calibri"/>
                <w:b/>
                <w:color w:val="E5484D"/>
                <w:sz w:val="22"/>
              </w:rPr>
              <w:t>-9.7%</w:t>
            </w:r>
          </w:p>
        </w:tc>
        <w:tc>
          <w:tcPr>
            <w:tcW w:type="dxa" w:w="960"/>
          </w:tcPr>
          <w:p>
            <w:r>
              <w:rPr>
                <w:rFonts w:ascii="Calibri" w:hAnsi="Calibri"/>
                <w:sz w:val="22"/>
              </w:rPr>
              <w:t>$5.30–$5.40</w:t>
            </w:r>
          </w:p>
        </w:tc>
        <w:tc>
          <w:tcPr>
            <w:tcW w:type="dxa" w:w="960"/>
          </w:tcPr>
          <w:p>
            <w:r>
              <w:rPr>
                <w:rFonts w:ascii="Calibri" w:hAnsi="Calibri"/>
                <w:sz w:val="22"/>
              </w:rPr>
              <w:t>$4.60–$4.80</w:t>
            </w:r>
          </w:p>
        </w:tc>
        <w:tc>
          <w:tcPr>
            <w:tcW w:type="dxa" w:w="960"/>
          </w:tcPr>
          <w:p>
            <w:r>
              <w:rPr>
                <w:rFonts w:ascii="Calibri" w:hAnsi="Calibri"/>
                <w:sz w:val="22"/>
              </w:rPr>
              <w:t>-12%</w:t>
            </w:r>
          </w:p>
        </w:tc>
        <w:tc>
          <w:tcPr>
            <w:tcW w:type="dxa" w:w="960"/>
          </w:tcPr>
          <w:p>
            <w:r>
              <w:rPr>
                <w:rFonts w:ascii="Calibri" w:hAnsi="Calibri"/>
                <w:sz w:val="22"/>
              </w:rPr>
              <w:t>+3% above guide midpoint</w:t>
            </w:r>
          </w:p>
        </w:tc>
      </w:tr>
      <w:tr>
        <w:tc>
          <w:tcPr>
            <w:tcW w:type="dxa" w:w="960"/>
          </w:tcPr>
          <w:p>
            <w:r>
              <w:rPr>
                <w:rFonts w:ascii="Calibri" w:hAnsi="Calibri"/>
                <w:sz w:val="22"/>
              </w:rPr>
              <w:t>Adj. Op. Income</w:t>
            </w:r>
          </w:p>
        </w:tc>
        <w:tc>
          <w:tcPr>
            <w:tcW w:type="dxa" w:w="960"/>
          </w:tcPr>
          <w:p>
            <w:r>
              <w:rPr>
                <w:rFonts w:ascii="Calibri" w:hAnsi="Calibri"/>
                <w:sz w:val="22"/>
              </w:rPr>
              <w:t>Q2 2026</w:t>
            </w:r>
          </w:p>
        </w:tc>
        <w:tc>
          <w:tcPr>
            <w:tcW w:type="dxa" w:w="960"/>
          </w:tcPr>
          <w:p>
            <w:r>
              <w:rPr>
                <w:rFonts w:ascii="Calibri" w:hAnsi="Calibri"/>
                <w:sz w:val="22"/>
              </w:rPr>
              <w:t>~$311M</w:t>
            </w:r>
          </w:p>
        </w:tc>
        <w:tc>
          <w:tcPr>
            <w:tcW w:type="dxa" w:w="960"/>
          </w:tcPr>
          <w:p>
            <w:r>
              <w:rPr>
                <w:rFonts w:ascii="Calibri" w:hAnsi="Calibri"/>
                <w:sz w:val="22"/>
              </w:rPr>
              <w:t>~$252M</w:t>
            </w:r>
          </w:p>
        </w:tc>
        <w:tc>
          <w:tcPr>
            <w:tcW w:type="dxa" w:w="960"/>
          </w:tcPr>
          <w:p>
            <w:r>
              <w:rPr>
                <w:rFonts w:ascii="Calibri" w:hAnsi="Calibri"/>
                <w:b/>
                <w:color w:val="E5484D"/>
                <w:sz w:val="22"/>
              </w:rPr>
              <w:t>-19.0%</w:t>
            </w:r>
          </w:p>
        </w:tc>
        <w:tc>
          <w:tcPr>
            <w:tcW w:type="dxa" w:w="960"/>
          </w:tcPr>
          <w:p>
            <w:r>
              <w:rPr>
                <w:rFonts w:ascii="Calibri" w:hAnsi="Calibri"/>
                <w:sz w:val="22"/>
              </w:rPr>
              <w:t>+5–6%</w:t>
            </w:r>
          </w:p>
        </w:tc>
        <w:tc>
          <w:tcPr>
            <w:tcW w:type="dxa" w:w="960"/>
          </w:tcPr>
          <w:p>
            <w:r>
              <w:rPr>
                <w:rFonts w:ascii="Calibri" w:hAnsi="Calibri"/>
                <w:sz w:val="22"/>
              </w:rPr>
              <w:t>~$235M (prelim)</w:t>
            </w:r>
          </w:p>
        </w:tc>
        <w:tc>
          <w:tcPr>
            <w:tcW w:type="dxa" w:w="960"/>
          </w:tcPr>
          <w:p>
            <w:r>
              <w:rPr>
                <w:rFonts w:ascii="Calibri" w:hAnsi="Calibri"/>
                <w:sz w:val="22"/>
              </w:rPr>
              <w:t>-25%</w:t>
            </w:r>
          </w:p>
        </w:tc>
        <w:tc>
          <w:tcPr>
            <w:tcW w:type="dxa" w:w="960"/>
          </w:tcPr>
          <w:p>
            <w:r>
              <w:rPr>
                <w:rFonts w:ascii="Calibri" w:hAnsi="Calibri"/>
                <w:sz w:val="22"/>
              </w:rPr>
              <w:t>+7% above prelim</w:t>
            </w:r>
          </w:p>
        </w:tc>
      </w:tr>
      <w:tr>
        <w:tc>
          <w:tcPr>
            <w:tcW w:type="dxa" w:w="960"/>
          </w:tcPr>
          <w:p>
            <w:r>
              <w:rPr>
                <w:rFonts w:ascii="Calibri" w:hAnsi="Calibri"/>
                <w:sz w:val="22"/>
              </w:rPr>
              <w:t>Adj. Op. Income</w:t>
            </w:r>
          </w:p>
        </w:tc>
        <w:tc>
          <w:tcPr>
            <w:tcW w:type="dxa" w:w="960"/>
          </w:tcPr>
          <w:p>
            <w:r>
              <w:rPr>
                <w:rFonts w:ascii="Calibri" w:hAnsi="Calibri"/>
                <w:sz w:val="22"/>
              </w:rPr>
              <w:t>FY2026</w:t>
            </w:r>
          </w:p>
        </w:tc>
        <w:tc>
          <w:tcPr>
            <w:tcW w:type="dxa" w:w="960"/>
          </w:tcPr>
          <w:p>
            <w:r>
              <w:rPr>
                <w:rFonts w:ascii="Calibri" w:hAnsi="Calibri"/>
                <w:sz w:val="22"/>
              </w:rPr>
              <w:t>~$1,120M</w:t>
            </w:r>
          </w:p>
        </w:tc>
        <w:tc>
          <w:tcPr>
            <w:tcW w:type="dxa" w:w="960"/>
          </w:tcPr>
          <w:p>
            <w:r>
              <w:rPr>
                <w:rFonts w:ascii="Calibri" w:hAnsi="Calibri"/>
                <w:sz w:val="22"/>
              </w:rPr>
              <w:t>~$1,011M</w:t>
            </w:r>
          </w:p>
        </w:tc>
        <w:tc>
          <w:tcPr>
            <w:tcW w:type="dxa" w:w="960"/>
          </w:tcPr>
          <w:p>
            <w:r>
              <w:rPr>
                <w:rFonts w:ascii="Calibri" w:hAnsi="Calibri"/>
                <w:b/>
                <w:color w:val="E5484D"/>
                <w:sz w:val="22"/>
              </w:rPr>
              <w:t>-9.7%</w:t>
            </w:r>
          </w:p>
        </w:tc>
        <w:tc>
          <w:tcPr>
            <w:tcW w:type="dxa" w:w="960"/>
          </w:tcPr>
          <w:p>
            <w:r>
              <w:rPr>
                <w:rFonts w:ascii="Calibri" w:hAnsi="Calibri"/>
                <w:sz w:val="22"/>
              </w:rPr>
              <w:t>+6–8%</w:t>
            </w:r>
          </w:p>
        </w:tc>
        <w:tc>
          <w:tcPr>
            <w:tcW w:type="dxa" w:w="960"/>
          </w:tcPr>
          <w:p>
            <w:r>
              <w:rPr>
                <w:rFonts w:ascii="Calibri" w:hAnsi="Calibri"/>
                <w:sz w:val="22"/>
              </w:rPr>
              <w:t>-5% to -9%</w:t>
            </w:r>
          </w:p>
        </w:tc>
        <w:tc>
          <w:tcPr>
            <w:tcW w:type="dxa" w:w="960"/>
          </w:tcPr>
          <w:p>
            <w:r>
              <w:rPr>
                <w:rFonts w:ascii="Calibri" w:hAnsi="Calibri"/>
                <w:sz w:val="22"/>
              </w:rPr>
              <w:t>~-14% swing</w:t>
            </w:r>
          </w:p>
        </w:tc>
        <w:tc>
          <w:tcPr>
            <w:tcW w:type="dxa" w:w="960"/>
          </w:tcPr>
          <w:p>
            <w:r>
              <w:rPr>
                <w:rFonts w:ascii="Calibri" w:hAnsi="Calibri"/>
                <w:sz w:val="22"/>
              </w:rPr>
              <w:t>~+5% above guide midpoint</w:t>
            </w:r>
          </w:p>
        </w:tc>
      </w:tr>
    </w:tbl>
    <w:p>
      <w:r>
        <w:rPr>
          <w:rFonts w:ascii="Calibri" w:hAnsi="Calibri"/>
          <w:b/>
          <w:color w:val="525866"/>
          <w:sz w:val="22"/>
        </w:rPr>
        <w:t xml:space="preserve">Commentary: </w:t>
      </w:r>
      <w:r>
        <w:rPr>
          <w:rFonts w:ascii="Calibri" w:hAnsi="Calibri"/>
          <w:color w:val="525866"/>
          <w:sz w:val="22"/>
        </w:rPr>
        <w:t>The gap between current consensus and the revised guidance midpoint (~3% on EPS, ~1% on revenue) suggests the street is modeling some upside vs. the preliminary figures — likely attributable to IEEPA refund uncertainty and potential H2 pool recovery optionality. The risk is that Q3 pool sell-in remains depressed longer than the single-quarter destocking narrative implies.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PNR has massively underperformed since Q1 earnings — </w:t>
      </w:r>
      <w:r>
        <w:rPr>
          <w:rFonts w:ascii="Calibri" w:hAnsi="Calibri"/>
          <w:b/>
          <w:color w:val="525866"/>
          <w:sz w:val="22"/>
        </w:rPr>
        <w:t>down ~24% vs. PHO Water ETF flat and SPY +4%</w:t>
      </w:r>
      <w:r>
        <w:rPr>
          <w:rFonts w:ascii="Calibri" w:hAnsi="Calibri"/>
          <w:color w:val="525866"/>
          <w:sz w:val="22"/>
        </w:rPr>
        <w:t xml:space="preserve"> — driven almost entirely by multiple compression and estimate cuts following the July 14 pool destocking pre-announcement; the stock has de-rated sharply and now trades at a meaningful discount to its historical average.</w:t>
      </w:r>
    </w:p>
    <w:p>
      <w:r>
        <w:drawing>
          <wp:inline xmlns:a="http://schemas.openxmlformats.org/drawingml/2006/main" xmlns:pic="http://schemas.openxmlformats.org/drawingml/2006/picture">
            <wp:extent cx="5943600" cy="3216112"/>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3216112"/>
                    </a:xfrm>
                    <a:prstGeom prst="rect"/>
                  </pic:spPr>
                </pic:pic>
              </a:graphicData>
            </a:graphic>
          </wp:inline>
        </w:drawing>
      </w:r>
    </w:p>
    <w:p>
      <w:pPr>
        <w:jc w:val="center"/>
      </w:pPr>
      <w:r>
        <w:rPr>
          <w:i/>
          <w:color w:val="666666"/>
          <w:sz w:val="18"/>
        </w:rPr>
        <w:t>PNR vs. PHO (Invesco Water Resources ETF) vs. S&amp;P 500 (SPY) — Indexed to 100 at Q1 2026 Earnings (Apr 28, 2026). Source: Yahoo Finance.</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Security</w:t>
            </w:r>
          </w:p>
        </w:tc>
        <w:tc>
          <w:tcPr>
            <w:tcW w:type="dxa" w:w="2880"/>
            <w:shd w:val="clear" w:color="auto" w:fill="3B4259"/>
          </w:tcPr>
          <w:p>
            <w:r>
              <w:rPr>
                <w:rFonts w:ascii="Calibri" w:hAnsi="Calibri"/>
                <w:b/>
                <w:color w:val="FFFFFF"/>
                <w:sz w:val="22"/>
              </w:rPr>
              <w:t>Indexed Value (Base 100 = Apr 28, 2026)</w:t>
            </w:r>
          </w:p>
        </w:tc>
        <w:tc>
          <w:tcPr>
            <w:tcW w:type="dxa" w:w="2880"/>
            <w:shd w:val="clear" w:color="auto" w:fill="3B4259"/>
          </w:tcPr>
          <w:p>
            <w:r>
              <w:rPr>
                <w:rFonts w:ascii="Calibri" w:hAnsi="Calibri"/>
                <w:b/>
                <w:color w:val="FFFFFF"/>
                <w:sz w:val="22"/>
              </w:rPr>
              <w:t>Performance Since Q1 Earnings</w:t>
            </w:r>
          </w:p>
        </w:tc>
      </w:tr>
      <w:tr>
        <w:tc>
          <w:tcPr>
            <w:tcW w:type="dxa" w:w="2880"/>
          </w:tcPr>
          <w:p>
            <w:r>
              <w:rPr>
                <w:rFonts w:ascii="Calibri" w:hAnsi="Calibri"/>
                <w:sz w:val="22"/>
              </w:rPr>
              <w:t>PNR</w:t>
            </w:r>
          </w:p>
        </w:tc>
        <w:tc>
          <w:tcPr>
            <w:tcW w:type="dxa" w:w="2880"/>
          </w:tcPr>
          <w:p>
            <w:r>
              <w:rPr>
                <w:rFonts w:ascii="Calibri" w:hAnsi="Calibri"/>
                <w:sz w:val="22"/>
              </w:rPr>
              <w:t>76.2</w:t>
            </w:r>
          </w:p>
        </w:tc>
        <w:tc>
          <w:tcPr>
            <w:tcW w:type="dxa" w:w="2880"/>
          </w:tcPr>
          <w:p>
            <w:r>
              <w:rPr>
                <w:rFonts w:ascii="Calibri" w:hAnsi="Calibri"/>
                <w:b/>
                <w:color w:val="E5484D"/>
                <w:sz w:val="22"/>
              </w:rPr>
              <w:t>-23.8%</w:t>
            </w:r>
          </w:p>
        </w:tc>
      </w:tr>
      <w:tr>
        <w:tc>
          <w:tcPr>
            <w:tcW w:type="dxa" w:w="2880"/>
          </w:tcPr>
          <w:p>
            <w:r>
              <w:rPr>
                <w:rFonts w:ascii="Calibri" w:hAnsi="Calibri"/>
                <w:sz w:val="22"/>
              </w:rPr>
              <w:t>PHO (Invesco Water Resources ETF)</w:t>
            </w:r>
          </w:p>
        </w:tc>
        <w:tc>
          <w:tcPr>
            <w:tcW w:type="dxa" w:w="2880"/>
          </w:tcPr>
          <w:p>
            <w:r>
              <w:rPr>
                <w:rFonts w:ascii="Calibri" w:hAnsi="Calibri"/>
                <w:sz w:val="22"/>
              </w:rPr>
              <w:t>101.1</w:t>
            </w:r>
          </w:p>
        </w:tc>
        <w:tc>
          <w:tcPr>
            <w:tcW w:type="dxa" w:w="2880"/>
          </w:tcPr>
          <w:p>
            <w:r>
              <w:rPr>
                <w:rFonts w:ascii="Calibri" w:hAnsi="Calibri"/>
                <w:sz w:val="22"/>
              </w:rPr>
              <w:t>+1.1%</w:t>
            </w:r>
          </w:p>
        </w:tc>
      </w:tr>
      <w:tr>
        <w:tc>
          <w:tcPr>
            <w:tcW w:type="dxa" w:w="2880"/>
          </w:tcPr>
          <w:p>
            <w:r>
              <w:rPr>
                <w:rFonts w:ascii="Calibri" w:hAnsi="Calibri"/>
                <w:sz w:val="22"/>
              </w:rPr>
              <w:t>S&amp;P 500 (SPY)</w:t>
            </w:r>
          </w:p>
        </w:tc>
        <w:tc>
          <w:tcPr>
            <w:tcW w:type="dxa" w:w="2880"/>
          </w:tcPr>
          <w:p>
            <w:r>
              <w:rPr>
                <w:rFonts w:ascii="Calibri" w:hAnsi="Calibri"/>
                <w:sz w:val="22"/>
              </w:rPr>
              <w:t>103.8</w:t>
            </w:r>
          </w:p>
        </w:tc>
        <w:tc>
          <w:tcPr>
            <w:tcW w:type="dxa" w:w="2880"/>
          </w:tcPr>
          <w:p>
            <w:r>
              <w:rPr>
                <w:rFonts w:ascii="Calibri" w:hAnsi="Calibri"/>
                <w:sz w:val="22"/>
              </w:rPr>
              <w:t>+3.8%</w:t>
            </w:r>
          </w:p>
        </w:tc>
      </w:tr>
    </w:tbl>
    <w:p>
      <w:pPr>
        <w:pStyle w:val="ListBullet"/>
        <w:ind w:left="360" w:hanging="360"/>
      </w:pPr>
      <w:r>
        <w:rPr>
          <w:rFonts w:ascii="Calibri" w:hAnsi="Calibri"/>
          <w:b/>
          <w:color w:val="525866"/>
          <w:sz w:val="22"/>
        </w:rPr>
        <w:t>May 6, 2026 — Credit Amendment ($500M Term Loan):</w:t>
      </w:r>
      <w:r>
        <w:rPr>
          <w:rFonts w:ascii="Calibri" w:hAnsi="Calibri"/>
          <w:color w:val="525866"/>
          <w:sz w:val="22"/>
        </w:rPr>
        <w:t xml:space="preserve"> Neutral/positive for liquidity. Stock reaction was muted; no change to capital allocation strategy.</w:t>
      </w:r>
    </w:p>
    <w:p>
      <w:pPr>
        <w:pStyle w:val="ListBullet"/>
        <w:ind w:left="360" w:hanging="360"/>
      </w:pPr>
      <w:r>
        <w:rPr>
          <w:rFonts w:ascii="Calibri" w:hAnsi="Calibri"/>
          <w:b/>
          <w:color w:val="525866"/>
          <w:sz w:val="22"/>
        </w:rPr>
        <w:t>July 14, 2026 — Preliminary Q2 Results &amp; FY Guidance Cut:</w:t>
      </w:r>
      <w:r>
        <w:rPr>
          <w:rFonts w:ascii="Calibri" w:hAnsi="Calibri"/>
          <w:color w:val="525866"/>
          <w:sz w:val="22"/>
        </w:rPr>
        <w:t xml:space="preserve"> Stock fell ~15% on the day (from $75.68 to $64.33). The pool destocking severity crystallized the magnitude of the earnings risk that had been building since Q1.</w:t>
      </w:r>
    </w:p>
    <w:p>
      <w:r>
        <w:rPr>
          <w:rFonts w:ascii="Calibri" w:hAnsi="Calibri"/>
          <w:color w:val="525866"/>
          <w:sz w:val="22"/>
        </w:rPr>
        <w:t>The stock’s underperformance is almost entirely post-July 14, when the pool destocking severity became clear. Prior to that, PNR had been drifting lower (-18% from Apr 28 to Jul 13) as pool sell-in concerns mounted, but the pre-announcement crystallized the magnitude. PHO’s flat performance confirms this is a PNR-specific issue, not a sector-wide water/industrial headwind.</w:t>
      </w:r>
    </w:p>
    <w:p>
      <w:r>
        <w:br w:type="page"/>
      </w:r>
    </w:p>
    <w:p>
      <w:pPr>
        <w:pStyle w:val="Heading2"/>
      </w:pPr>
      <w:r>
        <w:rPr>
          <w:rFonts w:ascii="Calibri" w:hAnsi="Calibri"/>
          <w:b/>
          <w:color w:val="3B4259"/>
          <w:sz w:val="28"/>
        </w:rPr>
        <w:t>6. Material News &amp; Developments</w:t>
      </w:r>
    </w:p>
    <w:p>
      <w:r>
        <w:rPr>
          <w:rFonts w:ascii="Calibri" w:hAnsi="Calibri"/>
          <w:i/>
          <w:color w:val="525866"/>
          <w:sz w:val="22"/>
        </w:rPr>
        <w:t>Since Q1 2026 Earnings (April 28, 2026)</w:t>
      </w:r>
    </w:p>
    <w:p>
      <w:r>
        <w:rPr>
          <w:rFonts w:ascii="Calibri" w:hAnsi="Calibri"/>
          <w:b/>
          <w:color w:val="525866"/>
          <w:sz w:val="22"/>
        </w:rPr>
        <w:t xml:space="preserve">Key Takeaway: </w:t>
      </w:r>
      <w:r>
        <w:rPr>
          <w:rFonts w:ascii="Calibri" w:hAnsi="Calibri"/>
          <w:color w:val="525866"/>
          <w:sz w:val="22"/>
        </w:rPr>
        <w:t xml:space="preserve">The July 14 preliminary results and guidance cut is the dominant event — a </w:t>
      </w:r>
      <w:r>
        <w:rPr>
          <w:rFonts w:ascii="Calibri" w:hAnsi="Calibri"/>
          <w:b/>
          <w:color w:val="525866"/>
          <w:sz w:val="22"/>
        </w:rPr>
        <w:t>~$250M full-year pool sales headwind and ~$0.65 EPS cut at the midpoint</w:t>
      </w:r>
      <w:r>
        <w:rPr>
          <w:rFonts w:ascii="Calibri" w:hAnsi="Calibri"/>
          <w:color w:val="525866"/>
          <w:sz w:val="22"/>
        </w:rPr>
        <w:t xml:space="preserve"> — compounded by an unexpected CFO departure that adds leadership uncertainty at a critical juncture.</w:t>
      </w:r>
    </w:p>
    <w:p>
      <w:pPr>
        <w:pStyle w:val="ListBullet"/>
        <w:ind w:left="360" w:hanging="360"/>
      </w:pPr>
      <w:r>
        <w:rPr>
          <w:rFonts w:ascii="Calibri" w:hAnsi="Calibri"/>
          <w:b/>
          <w:color w:val="525866"/>
          <w:sz w:val="22"/>
        </w:rPr>
        <w:t xml:space="preserve">July 14, 2026 — Preliminary Q2 Results &amp; FY Guidance Cut </w:t>
      </w:r>
      <w:r>
        <w:rPr>
          <w:rFonts w:ascii="Calibri" w:hAnsi="Calibri"/>
          <w:b/>
          <w:color w:val="E5484D"/>
          <w:sz w:val="22"/>
        </w:rPr>
        <w:t xml:space="preserve">(CRITICAL): </w:t>
      </w:r>
      <w:r>
        <w:rPr>
          <w:rFonts w:ascii="Calibri" w:hAnsi="Calibri"/>
          <w:color w:val="525866"/>
          <w:sz w:val="22"/>
        </w:rPr>
        <w:t xml:space="preserve">Pool channel destocking drove Q2 adj. EPS to ~$1.12 (vs. $1.47–$1.50 guide) and revenue to ~$930M (vs. ~$1.13B guide). FY2026 adj. EPS guide cut to $4.60–$4.80 from $5.30–$5.40; revenue guide flipped to -4% to -7% from +2% to +4%. Management attributed the miss to “more pronounced inventory realignment with major channel partners than previously estimated” and “worsening business conditions including higher interest rates and inflation.” </w:t>
      </w:r>
      <w:r>
        <w:rPr>
          <w:rFonts w:ascii="Calibri" w:hAnsi="Calibri"/>
          <w:i/>
          <w:color w:val="525866"/>
          <w:sz w:val="22"/>
        </w:rPr>
        <w:t>Implication:</w:t>
      </w:r>
      <w:r>
        <w:rPr>
          <w:rFonts w:ascii="Calibri" w:hAnsi="Calibri"/>
          <w:color w:val="525866"/>
          <w:sz w:val="22"/>
        </w:rPr>
        <w:t xml:space="preserve"> Pool recovery now explicitly a 2027 event; H2 2026 pool sell-in will remain depressed as channel partners right-size inventory.</w:t>
      </w:r>
    </w:p>
    <w:p>
      <w:pPr>
        <w:pStyle w:val="ListBullet"/>
        <w:ind w:left="360" w:hanging="360"/>
      </w:pPr>
      <w:r>
        <w:rPr>
          <w:rFonts w:ascii="Calibri" w:hAnsi="Calibri"/>
          <w:b/>
          <w:color w:val="525866"/>
          <w:sz w:val="22"/>
        </w:rPr>
        <w:t xml:space="preserve">July 14, 2026 — CFO Departure &amp; Interim Appointment </w:t>
      </w:r>
      <w:r>
        <w:rPr>
          <w:rFonts w:ascii="Calibri" w:hAnsi="Calibri"/>
          <w:b/>
          <w:color w:val="E5484D"/>
          <w:sz w:val="22"/>
        </w:rPr>
        <w:t xml:space="preserve">(NEGATIVE): </w:t>
      </w:r>
      <w:r>
        <w:rPr>
          <w:rFonts w:ascii="Calibri" w:hAnsi="Calibri"/>
          <w:color w:val="525866"/>
          <w:sz w:val="22"/>
        </w:rPr>
        <w:t xml:space="preserve">Nick Brazis departed July 10 to pursue an opportunity at a private company. Former CFO Bob Fishman appointed interim CFO effective immediately. </w:t>
      </w:r>
      <w:r>
        <w:rPr>
          <w:rFonts w:ascii="Calibri" w:hAnsi="Calibri"/>
          <w:i/>
          <w:color w:val="525866"/>
          <w:sz w:val="22"/>
        </w:rPr>
        <w:t>Implication:</w:t>
      </w:r>
      <w:r>
        <w:rPr>
          <w:rFonts w:ascii="Calibri" w:hAnsi="Calibri"/>
          <w:color w:val="525866"/>
          <w:sz w:val="22"/>
        </w:rPr>
        <w:t xml:space="preserve"> Leadership instability at a critical inflection point; Fishman’s familiarity with the business provides some continuity, but a permanent CFO search adds uncertainty around capital allocation and investor communication.</w:t>
      </w:r>
    </w:p>
    <w:p>
      <w:pPr>
        <w:pStyle w:val="ListBullet"/>
        <w:ind w:left="360" w:hanging="360"/>
      </w:pPr>
      <w:r>
        <w:rPr>
          <w:rFonts w:ascii="Calibri" w:hAnsi="Calibri"/>
          <w:b/>
          <w:color w:val="525866"/>
          <w:sz w:val="22"/>
        </w:rPr>
        <w:t xml:space="preserve">July 23, 2026 — POOL Corp Q2 2026 Earnings </w:t>
      </w:r>
      <w:r>
        <w:rPr>
          <w:rFonts w:ascii="Calibri" w:hAnsi="Calibri"/>
          <w:b/>
          <w:color w:val="525866"/>
          <w:sz w:val="22"/>
        </w:rPr>
        <w:t xml:space="preserve">(KEY READ-THROUGH): </w:t>
      </w:r>
      <w:r>
        <w:rPr>
          <w:rFonts w:ascii="Calibri" w:hAnsi="Calibri"/>
          <w:color w:val="525866"/>
          <w:sz w:val="22"/>
        </w:rPr>
        <w:t xml:space="preserve">Pool Corp confirmed pool industry demand remains soft — new pool construction tracking down low single digits YTD, discretionary demand “measured,” and California/Texas/Arizona sales down mid-single digits. However, POOL noted it is “bouncing off the bottom” with signs of stability, and sell-through of peak season stocking levels was normal. </w:t>
      </w:r>
      <w:r>
        <w:rPr>
          <w:rFonts w:ascii="Calibri" w:hAnsi="Calibri"/>
          <w:i/>
          <w:color w:val="525866"/>
          <w:sz w:val="22"/>
        </w:rPr>
        <w:t>Implication:</w:t>
      </w:r>
      <w:r>
        <w:rPr>
          <w:rFonts w:ascii="Calibri" w:hAnsi="Calibri"/>
          <w:color w:val="525866"/>
          <w:sz w:val="22"/>
        </w:rPr>
        <w:t xml:space="preserve"> Validates PNR’s pool demand narrative but suggests the destocking is a PNR-specific channel issue rather than a broader industry collapse.</w:t>
      </w:r>
    </w:p>
    <w:p>
      <w:pPr>
        <w:pStyle w:val="ListBullet"/>
        <w:ind w:left="360" w:hanging="360"/>
      </w:pPr>
      <w:r>
        <w:rPr>
          <w:rFonts w:ascii="Calibri" w:hAnsi="Calibri"/>
          <w:b/>
          <w:color w:val="525866"/>
          <w:sz w:val="22"/>
        </w:rPr>
        <w:t>May 6, 2026 — Credit Amendment ($500M Term Loan):</w:t>
      </w:r>
      <w:r>
        <w:rPr>
          <w:rFonts w:ascii="Calibri" w:hAnsi="Calibri"/>
          <w:color w:val="525866"/>
          <w:sz w:val="22"/>
        </w:rPr>
        <w:t xml:space="preserve"> Pentair amended its credit facility, adding a $500M term loan for refinancing purposes. </w:t>
      </w:r>
      <w:r>
        <w:rPr>
          <w:rFonts w:ascii="Calibri" w:hAnsi="Calibri"/>
          <w:i/>
          <w:color w:val="525866"/>
          <w:sz w:val="22"/>
        </w:rPr>
        <w:t>Implication:</w:t>
      </w:r>
      <w:r>
        <w:rPr>
          <w:rFonts w:ascii="Calibri" w:hAnsi="Calibri"/>
          <w:color w:val="525866"/>
          <w:sz w:val="22"/>
        </w:rPr>
        <w:t xml:space="preserve"> Neutral to positive for liquidity; no change to capital allocation strategy.</w:t>
      </w:r>
    </w:p>
    <w:p>
      <w:pPr>
        <w:pStyle w:val="ListBullet"/>
        <w:ind w:left="360" w:hanging="360"/>
      </w:pPr>
      <w:r>
        <w:rPr>
          <w:rFonts w:ascii="Calibri" w:hAnsi="Calibri"/>
          <w:b/>
          <w:color w:val="525866"/>
          <w:sz w:val="22"/>
        </w:rPr>
        <w:t>April 28, 2026 — Leadership Restructuring (Pool Division):</w:t>
      </w:r>
      <w:r>
        <w:rPr>
          <w:rFonts w:ascii="Calibri" w:hAnsi="Calibri"/>
          <w:color w:val="525866"/>
          <w:sz w:val="22"/>
        </w:rPr>
        <w:t xml:space="preserve"> Pentair consolidated the Pool Division role as part of ongoing organizational restructuring. VP of IR Shelly Hubbard departing, replaced by Jeff Thompson (CFO of Flow/Water Solutions segments). </w:t>
      </w:r>
      <w:r>
        <w:rPr>
          <w:rFonts w:ascii="Calibri" w:hAnsi="Calibri"/>
          <w:i/>
          <w:color w:val="525866"/>
          <w:sz w:val="22"/>
        </w:rPr>
        <w:t>Implication:</w:t>
      </w:r>
      <w:r>
        <w:rPr>
          <w:rFonts w:ascii="Calibri" w:hAnsi="Calibri"/>
          <w:color w:val="525866"/>
          <w:sz w:val="22"/>
        </w:rPr>
        <w:t xml:space="preserve"> Signals continued focus on operational efficiency within Pool.</w:t>
      </w:r>
    </w:p>
    <w:p>
      <w:pPr>
        <w:pStyle w:val="ListBullet"/>
        <w:ind w:left="360" w:hanging="360"/>
      </w:pPr>
      <w:r>
        <w:rPr>
          <w:rFonts w:ascii="Calibri" w:hAnsi="Calibri"/>
          <w:b/>
          <w:color w:val="525866"/>
          <w:sz w:val="22"/>
        </w:rPr>
        <w:t>April 28, 2026 — Q1 2026 Earnings (Strong Beat, Muted Reaction):</w:t>
      </w:r>
      <w:r>
        <w:rPr>
          <w:rFonts w:ascii="Calibri" w:hAnsi="Calibri"/>
          <w:color w:val="525866"/>
          <w:sz w:val="22"/>
        </w:rPr>
        <w:t xml:space="preserve"> Adj. EPS of $1.22 beat consensus of $1.16 by 5.2%; revenue of $1,036.7M beat by 1.2%. 16th consecutive quarter of margin expansion. FY2026 adj. EPS guide raised at low end to $5.30–$5.40. Stock opened near prior close — market had largely priced in the beat, and below-consensus Q2 revenue guide tempered enthusiasm.</w:t>
      </w:r>
    </w:p>
    <w:p>
      <w:r>
        <w:br w:type="page"/>
      </w:r>
    </w:p>
    <w:p>
      <w:pPr>
        <w:pStyle w:val="Heading2"/>
      </w:pPr>
      <w:r>
        <w:rPr>
          <w:rFonts w:ascii="Calibri" w:hAnsi="Calibri"/>
          <w:b/>
          <w:color w:val="3B4259"/>
          <w:sz w:val="28"/>
        </w:rPr>
        <w:t>7. Peer Commentaries — Read-Throughs for Q2 2026</w:t>
      </w:r>
    </w:p>
    <w:p>
      <w:r>
        <w:rPr>
          <w:rFonts w:ascii="Calibri" w:hAnsi="Calibri"/>
          <w:i/>
          <w:color w:val="525866"/>
          <w:sz w:val="22"/>
        </w:rPr>
        <w:t>Last 60 days | Commentary about current reporting quarter or post-last-earnings period only</w:t>
      </w:r>
    </w:p>
    <w:p>
      <w:r>
        <w:rPr>
          <w:rFonts w:ascii="Calibri" w:hAnsi="Calibri"/>
          <w:b/>
          <w:color w:val="525866"/>
          <w:sz w:val="22"/>
        </w:rPr>
        <w:t xml:space="preserve">Key Takeaway: </w:t>
      </w:r>
      <w:r>
        <w:rPr>
          <w:rFonts w:ascii="Calibri" w:hAnsi="Calibri"/>
          <w:color w:val="525866"/>
          <w:sz w:val="22"/>
        </w:rPr>
        <w:t xml:space="preserve">Peer commentary is uniformly negative on pool channel dynamics (POOL Corp, Hayward) but constructive on Flow/industrial water (IDEX, Franklin Electric) — a split that maps directly onto PNR’s own segment divergence and </w:t>
      </w:r>
      <w:r>
        <w:rPr>
          <w:rFonts w:ascii="Calibri" w:hAnsi="Calibri"/>
          <w:b/>
          <w:color w:val="525866"/>
          <w:sz w:val="22"/>
        </w:rPr>
        <w:t>validates management’s narrative that the pool issue is channel-specific, not a broader water/industrial demand problem</w:t>
      </w:r>
      <w:r>
        <w:rPr>
          <w:rFonts w:ascii="Calibri" w:hAnsi="Calibri"/>
          <w:color w:val="525866"/>
          <w:sz w:val="22"/>
        </w:rPr>
        <w:t>.</w:t>
      </w:r>
    </w:p>
    <w:p>
      <w:pPr>
        <w:pStyle w:val="Heading3"/>
      </w:pPr>
      <w:r>
        <w:rPr>
          <w:rFonts w:ascii="Calibri" w:hAnsi="Calibri"/>
          <w:b/>
          <w:color w:val="3B4259"/>
          <w:sz w:val="24"/>
        </w:rPr>
        <w:t>A. Pool &amp; Residential — Most Relevant</w:t>
      </w:r>
    </w:p>
    <w:p>
      <w:pPr>
        <w:pStyle w:val="Heading4"/>
      </w:pPr>
      <w:r>
        <w:rPr>
          <w:rFonts w:ascii="Calibri" w:hAnsi="Calibri"/>
          <w:b/>
          <w:color w:val="3B4259"/>
          <w:sz w:val="22"/>
        </w:rPr>
        <w:t>POOL Corp (POOL) — Q2 2026 Earnings (July 23, 2026) | Highest Relevance</w:t>
      </w:r>
    </w:p>
    <w:p>
      <w:r>
        <w:rPr>
          <w:rFonts w:ascii="Calibri" w:hAnsi="Calibri"/>
          <w:color w:val="525866"/>
          <w:sz w:val="22"/>
        </w:rPr>
        <w:t>POOL Corp confirmed the pool industry remains in a soft demand environment heading into the back half of 2026. New pool construction is tracking down low single digits year-to-date, and discretionary demand remains “measured,” particularly in year-round markets (California, Texas, Arizona down mid-single digits). However, management noted they “</w:t>
      </w:r>
      <w:r>
        <w:rPr>
          <w:rFonts w:ascii="Calibri" w:hAnsi="Calibri"/>
          <w:i/>
          <w:color w:val="525866"/>
          <w:sz w:val="22"/>
        </w:rPr>
        <w:t>sold through our peak season stocking levels, moderating year-over-year inventory growth</w:t>
      </w:r>
      <w:r>
        <w:rPr>
          <w:rFonts w:ascii="Calibri" w:hAnsi="Calibri"/>
          <w:color w:val="525866"/>
          <w:sz w:val="22"/>
        </w:rPr>
        <w:t>” and expressed comfort with inventory quality and positioning. Critically, POOL stated they believe “</w:t>
      </w:r>
      <w:r>
        <w:rPr>
          <w:rFonts w:ascii="Calibri" w:hAnsi="Calibri"/>
          <w:i/>
          <w:color w:val="525866"/>
          <w:sz w:val="22"/>
        </w:rPr>
        <w:t>we’re probably bouncing off the bottom right now. There’s some stability, some good signs that shows stability</w:t>
      </w:r>
      <w:r>
        <w:rPr>
          <w:rFonts w:ascii="Calibri" w:hAnsi="Calibri"/>
          <w:color w:val="525866"/>
          <w:sz w:val="22"/>
        </w:rPr>
        <w:t>.” For 2027, management said “more commentary on that as we get out of 2026 and we look into 2027” — suggesting no clear recovery signal yet. Equipment sales grew 3% on price and repair-related demand, and building materials grew 4%, confirming the break-fix/maintenance dynamic PNR has described. Pricing contributed 3% to net sales growth in Q2, though expected to moderate to ~2% in H2 as prior-year mid-season price increases are lapped.</w:t>
      </w:r>
    </w:p>
    <w:p>
      <w:r>
        <w:rPr>
          <w:rFonts w:ascii="Calibri" w:hAnsi="Calibri"/>
          <w:b/>
          <w:color w:val="525866"/>
          <w:sz w:val="22"/>
        </w:rPr>
        <w:t xml:space="preserve">Read-through for PNR: </w:t>
      </w:r>
      <w:r>
        <w:rPr>
          <w:rFonts w:ascii="Calibri" w:hAnsi="Calibri"/>
          <w:color w:val="525866"/>
          <w:sz w:val="22"/>
        </w:rPr>
        <w:t xml:space="preserve">Confirms pool industry sell-through is functioning normally (POOL’s inventory is fine), which means PNR’s destocking is a </w:t>
      </w:r>
      <w:r>
        <w:rPr>
          <w:rFonts w:ascii="Calibri" w:hAnsi="Calibri"/>
          <w:b/>
          <w:color w:val="525866"/>
          <w:sz w:val="22"/>
        </w:rPr>
        <w:t>PNR-specific channel inventory issue</w:t>
      </w:r>
      <w:r>
        <w:rPr>
          <w:rFonts w:ascii="Calibri" w:hAnsi="Calibri"/>
          <w:color w:val="525866"/>
          <w:sz w:val="22"/>
        </w:rPr>
        <w:t xml:space="preserve"> with its distribution partners — not a broader industry demand collapse. The “bouncing off the bottom” language is mildly constructive for PNR’s 2027 recovery narrative, but the absence of a clear 2027 volume recovery signal keeps the timeline uncertain.</w:t>
      </w:r>
    </w:p>
    <w:p>
      <w:pPr>
        <w:pStyle w:val="Heading4"/>
      </w:pPr>
      <w:r>
        <w:rPr>
          <w:rFonts w:ascii="Calibri" w:hAnsi="Calibri"/>
          <w:b/>
          <w:color w:val="3B4259"/>
          <w:sz w:val="22"/>
        </w:rPr>
        <w:t>Hayward Holdings (HAYW) — Q1 2026 Earnings (April 29, 2026) | High Relevance</w:t>
      </w:r>
    </w:p>
    <w:p>
      <w:r>
        <w:rPr>
          <w:rFonts w:ascii="Calibri" w:hAnsi="Calibri"/>
          <w:color w:val="525866"/>
          <w:sz w:val="22"/>
        </w:rPr>
        <w:t>Hayward reported Q1 net sales up 12% with “</w:t>
      </w:r>
      <w:r>
        <w:rPr>
          <w:rFonts w:ascii="Calibri" w:hAnsi="Calibri"/>
          <w:i/>
          <w:color w:val="525866"/>
          <w:sz w:val="22"/>
        </w:rPr>
        <w:t>positive volume for the first time in several quarters</w:t>
      </w:r>
      <w:r>
        <w:rPr>
          <w:rFonts w:ascii="Calibri" w:hAnsi="Calibri"/>
          <w:color w:val="525866"/>
          <w:sz w:val="22"/>
        </w:rPr>
        <w:t>” — a constructive data point for pool industry health. Management noted channel inventory was “balanced at year-end” and their full-year guide “assumes sell-in approximates sell-out for the full year.” Critically, Hayward was NOT experiencing the same channel destocking as PNR — their mid-single-digit net sales guide assumed normal sell-in/sell-out dynamics. Discretionary products (automation, heaters) outpaced core categories, and aftermarket demand remained resilient (~85% of sales). Hayward raised its FY2026 net sales guide to +5% (from +4%) and adj. EPS to +9–13%. They implemented a 2.5% surcharge in early Q2 for specialty metal cost inflation, and noted the market is “accepting the pricing that we’ve put in.”</w:t>
      </w:r>
    </w:p>
    <w:p>
      <w:r>
        <w:rPr>
          <w:rFonts w:ascii="Calibri" w:hAnsi="Calibri"/>
          <w:b/>
          <w:color w:val="525866"/>
          <w:sz w:val="22"/>
        </w:rPr>
        <w:t xml:space="preserve">Read-through for PNR: </w:t>
      </w:r>
      <w:r>
        <w:rPr>
          <w:rFonts w:ascii="Calibri" w:hAnsi="Calibri"/>
          <w:color w:val="525866"/>
          <w:sz w:val="22"/>
        </w:rPr>
        <w:t xml:space="preserve">Hayward’s clean channel inventory and positive volume signal suggests PNR’s pool destocking is concentrated in specific distribution partners rather than being an industry-wide phenomenon. The divergence between HAYW’s constructive tone and PNR’s severe miss is notable — it points to </w:t>
      </w:r>
      <w:r>
        <w:rPr>
          <w:rFonts w:ascii="Calibri" w:hAnsi="Calibri"/>
          <w:b/>
          <w:color w:val="525866"/>
          <w:sz w:val="22"/>
        </w:rPr>
        <w:t>PNR having specific channel partner concentration risk</w:t>
      </w:r>
      <w:r>
        <w:rPr>
          <w:rFonts w:ascii="Calibri" w:hAnsi="Calibri"/>
          <w:color w:val="525866"/>
          <w:sz w:val="22"/>
        </w:rPr>
        <w:t>. Hayward’s positive volume data is constructive for PNR’s 2027 recovery thesis.</w:t>
      </w:r>
    </w:p>
    <w:p>
      <w:pPr>
        <w:pStyle w:val="Heading3"/>
      </w:pPr>
      <w:r>
        <w:rPr>
          <w:rFonts w:ascii="Calibri" w:hAnsi="Calibri"/>
          <w:b/>
          <w:color w:val="3B4259"/>
          <w:sz w:val="24"/>
        </w:rPr>
        <w:t>B. Flow &amp; Industrial Water — Constructive for PNR Flow Segment</w:t>
      </w:r>
    </w:p>
    <w:p>
      <w:pPr>
        <w:pStyle w:val="Heading4"/>
      </w:pPr>
      <w:r>
        <w:rPr>
          <w:rFonts w:ascii="Calibri" w:hAnsi="Calibri"/>
          <w:b/>
          <w:color w:val="3B4259"/>
          <w:sz w:val="22"/>
        </w:rPr>
        <w:t>IDEX Corporation (IEX) — Q1 2026 Earnings (April 29, 2026) | Medium Relevance</w:t>
      </w:r>
    </w:p>
    <w:p>
      <w:r>
        <w:rPr>
          <w:rFonts w:ascii="Calibri" w:hAnsi="Calibri"/>
          <w:color w:val="525866"/>
          <w:sz w:val="22"/>
        </w:rPr>
        <w:t>IDEX reported strong order activity in its water platform, with FMT segment orders up 9% organically driven by “strong order activity in our water platform and pumps businesses.” Municipal water demand remained robust, and the intelligent water platform contributed to both order and sales growth. IDEX raised its FY2026 organic growth guidance to 3–4% (from 1–2%) and increased adj. EPS guidance by $0.20 to $8.35–$8.55. Industrial end markets showed “signs of improvement” with a “cadence of improvement across the 4 months of the year.” Tariff impact was described as “largely consistent” with prior expectations, with no material net impact to financial results.</w:t>
      </w:r>
    </w:p>
    <w:p>
      <w:r>
        <w:rPr>
          <w:rFonts w:ascii="Calibri" w:hAnsi="Calibri"/>
          <w:b/>
          <w:color w:val="525866"/>
          <w:sz w:val="22"/>
        </w:rPr>
        <w:t xml:space="preserve">Read-through for PNR: </w:t>
      </w:r>
      <w:r>
        <w:rPr>
          <w:rFonts w:ascii="Calibri" w:hAnsi="Calibri"/>
          <w:color w:val="525866"/>
          <w:sz w:val="22"/>
        </w:rPr>
        <w:t>Constructive for PNR’s Flow segment, which serves similar municipal water and industrial infrastructure end markets. IDEX’s strong water platform orders validate PNR’s Flow growth thesis (mid-to-high single digit guide). The improving industrial demand backdrop is a tailwind for PNR’s commercial and infrastructure-facing Flow business.</w:t>
      </w:r>
    </w:p>
    <w:p>
      <w:pPr>
        <w:pStyle w:val="Heading4"/>
      </w:pPr>
      <w:r>
        <w:rPr>
          <w:rFonts w:ascii="Calibri" w:hAnsi="Calibri"/>
          <w:b/>
          <w:color w:val="3B4259"/>
          <w:sz w:val="22"/>
        </w:rPr>
        <w:t>Franklin Electric (FELE) — Q1 2026 Earnings (April 28, 2026) | Medium Relevance</w:t>
      </w:r>
    </w:p>
    <w:p>
      <w:r>
        <w:rPr>
          <w:rFonts w:ascii="Calibri" w:hAnsi="Calibri"/>
          <w:color w:val="525866"/>
          <w:sz w:val="22"/>
        </w:rPr>
        <w:t>Franklin Electric reported sales up 10% with “healthy organic growth across end markets” driven by “volume growth and disciplined pricing.” Residential groundwater and ag markets had “a nice first quarter of both volume and price,” and surface pumping (RSS) was “strong.” Water treatment product sales in the US/Canada increased 8%. The data center market was described as “simply the fastest-growing space for pumps, motors and drives” globally, with Franklin building dedicated production capacity. Tariff impact was “neutral to slightly positive” given their in-region manufacturing footprint.</w:t>
      </w:r>
    </w:p>
    <w:p>
      <w:r>
        <w:rPr>
          <w:rFonts w:ascii="Calibri" w:hAnsi="Calibri"/>
          <w:b/>
          <w:color w:val="525866"/>
          <w:sz w:val="22"/>
        </w:rPr>
        <w:t xml:space="preserve">Read-through for PNR: </w:t>
      </w:r>
      <w:r>
        <w:rPr>
          <w:rFonts w:ascii="Calibri" w:hAnsi="Calibri"/>
          <w:color w:val="525866"/>
          <w:sz w:val="22"/>
        </w:rPr>
        <w:t>Validates PNR’s residential water recovery narrative (groundwater/surface pumping strength) and the data center opportunity for Flow. Franklin’s positive residential volume data is constructive for PNR’s Water Solutions Pro channel, which grew mid-teens in Q1. The tariff neutrality from in-region manufacturing mirrors PNR’s own tariff-neutral framing.</w:t>
      </w:r>
    </w:p>
    <w:p>
      <w:pPr>
        <w:pStyle w:val="Heading3"/>
      </w:pPr>
      <w:r>
        <w:rPr>
          <w:rFonts w:ascii="Calibri" w:hAnsi="Calibri"/>
          <w:b/>
          <w:color w:val="3B4259"/>
          <w:sz w:val="24"/>
        </w:rPr>
        <w:t>C. Broader Industrial — Context</w:t>
      </w:r>
    </w:p>
    <w:p>
      <w:pPr>
        <w:pStyle w:val="Heading4"/>
      </w:pPr>
      <w:r>
        <w:rPr>
          <w:rFonts w:ascii="Calibri" w:hAnsi="Calibri"/>
          <w:b/>
          <w:color w:val="3B4259"/>
          <w:sz w:val="22"/>
        </w:rPr>
        <w:t>Xylem (XYL) — Q1 2026 Earnings (April 28, 2026) | Low-Medium Relevance</w:t>
      </w:r>
    </w:p>
    <w:p>
      <w:r>
        <w:rPr>
          <w:rFonts w:ascii="Calibri" w:hAnsi="Calibri"/>
          <w:color w:val="525866"/>
          <w:sz w:val="22"/>
        </w:rPr>
        <w:t>Xylem reported channel inventory in its MCS segment “back to normalized levels” with book-and-ship up 9%. Applied Water segment experienced “softness in industrial and residential end markets” offset by commercial building strength. Xylem secured its largest-ever order — an $850M, 20-year outsourced water contract in the specialty chemical vertical. Tariff impact was described as “no material impact” with confidence in price/cost positive positioning. Full-year EBITDA margin guidance of 22.9–23.3% maintained.</w:t>
      </w:r>
    </w:p>
    <w:p>
      <w:r>
        <w:rPr>
          <w:rFonts w:ascii="Calibri" w:hAnsi="Calibri"/>
          <w:b/>
          <w:color w:val="525866"/>
          <w:sz w:val="22"/>
        </w:rPr>
        <w:t xml:space="preserve">Read-through for PNR: </w:t>
      </w:r>
      <w:r>
        <w:rPr>
          <w:rFonts w:ascii="Calibri" w:hAnsi="Calibri"/>
          <w:color w:val="525866"/>
          <w:sz w:val="22"/>
        </w:rPr>
        <w:t>The MCS channel normalization is a positive read-through for PNR’s Water Solutions segment (similar channel dynamics). Applied Water softness in residential/industrial partially offsets the positive signal. The large outsourced water contract win validates the secular infrastructure opportunity that PNR’s Flow segment is targeting.</w:t>
      </w:r>
    </w:p>
    <w:p>
      <w:r>
        <w:br w:type="page"/>
      </w:r>
    </w:p>
    <w:p>
      <w:pPr>
        <w:pStyle w:val="Heading2"/>
      </w:pPr>
      <w:r>
        <w:rPr>
          <w:rFonts w:ascii="Calibri" w:hAnsi="Calibri"/>
          <w:b/>
          <w:color w:val="3B4259"/>
          <w:sz w:val="28"/>
        </w:rPr>
        <w:t>8. Insider Transaction Activity</w:t>
      </w:r>
    </w:p>
    <w:p>
      <w:r>
        <w:rPr>
          <w:rFonts w:ascii="Calibri" w:hAnsi="Calibri"/>
          <w:i/>
          <w:color w:val="525866"/>
          <w:sz w:val="22"/>
        </w:rPr>
        <w:t>Since Q1 2026 Earnings (April 28, 2026)</w:t>
      </w:r>
    </w:p>
    <w:p>
      <w:r>
        <w:rPr>
          <w:rFonts w:ascii="Calibri" w:hAnsi="Calibri"/>
          <w:b/>
          <w:color w:val="525866"/>
          <w:sz w:val="22"/>
        </w:rPr>
        <w:t xml:space="preserve">Key Takeaway: </w:t>
      </w:r>
      <w:r>
        <w:rPr>
          <w:rFonts w:ascii="Calibri" w:hAnsi="Calibri"/>
          <w:color w:val="525866"/>
          <w:sz w:val="22"/>
        </w:rPr>
        <w:t xml:space="preserve">No open-market buys or discretionary sells were filed in the period — the only transactions are routine tax-withholding share forfeitures and a restricted stock unit grant to the incoming interim CFO. </w:t>
      </w:r>
      <w:r>
        <w:rPr>
          <w:rFonts w:ascii="Calibri" w:hAnsi="Calibri"/>
          <w:b/>
          <w:color w:val="525866"/>
          <w:sz w:val="22"/>
        </w:rPr>
        <w:t>The absence of insider buying ahead of a ~24% stock decline is notable.</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Value</w:t>
            </w:r>
          </w:p>
        </w:tc>
        <w:tc>
          <w:tcPr>
            <w:tcW w:type="dxa" w:w="1234"/>
            <w:shd w:val="clear" w:color="auto" w:fill="3B4259"/>
          </w:tcPr>
          <w:p>
            <w:r>
              <w:rPr>
                <w:rFonts w:ascii="Calibri" w:hAnsi="Calibri"/>
                <w:b/>
                <w:color w:val="FFFFFF"/>
                <w:sz w:val="22"/>
              </w:rPr>
              <w:t>Effective Date</w:t>
            </w:r>
          </w:p>
        </w:tc>
        <w:tc>
          <w:tcPr>
            <w:tcW w:type="dxa" w:w="1234"/>
            <w:shd w:val="clear" w:color="auto" w:fill="3B4259"/>
          </w:tcPr>
          <w:p>
            <w:r>
              <w:rPr>
                <w:rFonts w:ascii="Calibri" w:hAnsi="Calibri"/>
                <w:b/>
                <w:color w:val="FFFFFF"/>
                <w:sz w:val="22"/>
              </w:rPr>
              <w:t>Disclosed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Robert P. Fishman</w:t>
            </w:r>
          </w:p>
        </w:tc>
        <w:tc>
          <w:tcPr>
            <w:tcW w:type="dxa" w:w="1234"/>
          </w:tcPr>
          <w:p>
            <w:r>
              <w:rPr>
                <w:rFonts w:ascii="Calibri" w:hAnsi="Calibri"/>
                <w:sz w:val="22"/>
              </w:rPr>
              <w:t>Interim EVP &amp; CFO</w:t>
            </w:r>
          </w:p>
        </w:tc>
        <w:tc>
          <w:tcPr>
            <w:tcW w:type="dxa" w:w="1234"/>
          </w:tcPr>
          <w:p>
            <w:r>
              <w:rPr>
                <w:rFonts w:ascii="Calibri" w:hAnsi="Calibri"/>
                <w:sz w:val="22"/>
              </w:rPr>
              <w:t>RSU Grant (Award)</w:t>
            </w:r>
          </w:p>
        </w:tc>
        <w:tc>
          <w:tcPr>
            <w:tcW w:type="dxa" w:w="1234"/>
          </w:tcPr>
          <w:p>
            <w:r>
              <w:rPr>
                <w:rFonts w:ascii="Calibri" w:hAnsi="Calibri"/>
                <w:sz w:val="22"/>
              </w:rPr>
              <w:t>13,214 RSUs</w:t>
            </w:r>
          </w:p>
        </w:tc>
        <w:tc>
          <w:tcPr>
            <w:tcW w:type="dxa" w:w="1234"/>
          </w:tcPr>
          <w:p>
            <w:r>
              <w:rPr>
                <w:rFonts w:ascii="Calibri" w:hAnsi="Calibri"/>
                <w:sz w:val="22"/>
              </w:rPr>
              <w:t>July 14, 2026</w:t>
            </w:r>
          </w:p>
        </w:tc>
        <w:tc>
          <w:tcPr>
            <w:tcW w:type="dxa" w:w="1234"/>
          </w:tcPr>
          <w:p>
            <w:r>
              <w:rPr>
                <w:rFonts w:ascii="Calibri" w:hAnsi="Calibri"/>
                <w:sz w:val="22"/>
              </w:rPr>
              <w:t>July 16, 2026</w:t>
            </w:r>
          </w:p>
        </w:tc>
        <w:tc>
          <w:tcPr>
            <w:tcW w:type="dxa" w:w="1234"/>
          </w:tcPr>
          <w:p>
            <w:r>
              <w:rPr>
                <w:rFonts w:ascii="Calibri" w:hAnsi="Calibri"/>
                <w:sz w:val="22"/>
              </w:rPr>
              <w:t>Grant upon appointment as interim CFO; not a market purchase</w:t>
            </w:r>
          </w:p>
        </w:tc>
      </w:tr>
      <w:tr>
        <w:tc>
          <w:tcPr>
            <w:tcW w:type="dxa" w:w="1234"/>
          </w:tcPr>
          <w:p>
            <w:r>
              <w:rPr>
                <w:rFonts w:ascii="Calibri" w:hAnsi="Calibri"/>
                <w:sz w:val="22"/>
              </w:rPr>
              <w:t>Jennifer M. Hensley</w:t>
            </w:r>
          </w:p>
        </w:tc>
        <w:tc>
          <w:tcPr>
            <w:tcW w:type="dxa" w:w="1234"/>
          </w:tcPr>
          <w:p>
            <w:r>
              <w:rPr>
                <w:rFonts w:ascii="Calibri" w:hAnsi="Calibri"/>
                <w:sz w:val="22"/>
              </w:rPr>
              <w:t>SVP, CAO &amp; Controller</w:t>
            </w:r>
          </w:p>
        </w:tc>
        <w:tc>
          <w:tcPr>
            <w:tcW w:type="dxa" w:w="1234"/>
          </w:tcPr>
          <w:p>
            <w:r>
              <w:rPr>
                <w:rFonts w:ascii="Calibri" w:hAnsi="Calibri"/>
                <w:sz w:val="22"/>
              </w:rPr>
              <w:t>Tax Withholding (Forfeiture)</w:t>
            </w:r>
          </w:p>
        </w:tc>
        <w:tc>
          <w:tcPr>
            <w:tcW w:type="dxa" w:w="1234"/>
          </w:tcPr>
          <w:p>
            <w:r>
              <w:rPr>
                <w:rFonts w:ascii="Calibri" w:hAnsi="Calibri"/>
                <w:sz w:val="22"/>
              </w:rPr>
              <w:t>59 shares</w:t>
            </w:r>
          </w:p>
        </w:tc>
        <w:tc>
          <w:tcPr>
            <w:tcW w:type="dxa" w:w="1234"/>
          </w:tcPr>
          <w:p>
            <w:r>
              <w:rPr>
                <w:rFonts w:ascii="Calibri" w:hAnsi="Calibri"/>
                <w:sz w:val="22"/>
              </w:rPr>
              <w:t>May 12, 2026</w:t>
            </w:r>
          </w:p>
        </w:tc>
        <w:tc>
          <w:tcPr>
            <w:tcW w:type="dxa" w:w="1234"/>
          </w:tcPr>
          <w:p>
            <w:r>
              <w:rPr>
                <w:rFonts w:ascii="Calibri" w:hAnsi="Calibri"/>
                <w:sz w:val="22"/>
              </w:rPr>
              <w:t>May 13, 2026</w:t>
            </w:r>
          </w:p>
        </w:tc>
        <w:tc>
          <w:tcPr>
            <w:tcW w:type="dxa" w:w="1234"/>
          </w:tcPr>
          <w:p>
            <w:r>
              <w:rPr>
                <w:rFonts w:ascii="Calibri" w:hAnsi="Calibri"/>
                <w:sz w:val="22"/>
              </w:rPr>
              <w:t>Routine tax withholding on vesting; not a discretionary sale</w:t>
            </w:r>
          </w:p>
        </w:tc>
      </w:tr>
      <w:tr>
        <w:tc>
          <w:tcPr>
            <w:tcW w:type="dxa" w:w="1234"/>
          </w:tcPr>
          <w:p>
            <w:r>
              <w:rPr>
                <w:rFonts w:ascii="Calibri" w:hAnsi="Calibri"/>
                <w:sz w:val="22"/>
              </w:rPr>
              <w:t>Heather M. Hausmann</w:t>
            </w:r>
          </w:p>
        </w:tc>
        <w:tc>
          <w:tcPr>
            <w:tcW w:type="dxa" w:w="1234"/>
          </w:tcPr>
          <w:p>
            <w:r>
              <w:rPr>
                <w:rFonts w:ascii="Calibri" w:hAnsi="Calibri"/>
                <w:sz w:val="22"/>
              </w:rPr>
              <w:t>EVP, CIO &amp; CISO</w:t>
            </w:r>
          </w:p>
        </w:tc>
        <w:tc>
          <w:tcPr>
            <w:tcW w:type="dxa" w:w="1234"/>
          </w:tcPr>
          <w:p>
            <w:r>
              <w:rPr>
                <w:rFonts w:ascii="Calibri" w:hAnsi="Calibri"/>
                <w:sz w:val="22"/>
              </w:rPr>
              <w:t>Tax Withholding (Forfeiture)</w:t>
            </w:r>
          </w:p>
        </w:tc>
        <w:tc>
          <w:tcPr>
            <w:tcW w:type="dxa" w:w="1234"/>
          </w:tcPr>
          <w:p>
            <w:r>
              <w:rPr>
                <w:rFonts w:ascii="Calibri" w:hAnsi="Calibri"/>
                <w:sz w:val="22"/>
              </w:rPr>
              <w:t>74 shares</w:t>
            </w:r>
          </w:p>
        </w:tc>
        <w:tc>
          <w:tcPr>
            <w:tcW w:type="dxa" w:w="1234"/>
          </w:tcPr>
          <w:p>
            <w:r>
              <w:rPr>
                <w:rFonts w:ascii="Calibri" w:hAnsi="Calibri"/>
                <w:sz w:val="22"/>
              </w:rPr>
              <w:t>April 30, 2026</w:t>
            </w:r>
          </w:p>
        </w:tc>
        <w:tc>
          <w:tcPr>
            <w:tcW w:type="dxa" w:w="1234"/>
          </w:tcPr>
          <w:p>
            <w:r>
              <w:rPr>
                <w:rFonts w:ascii="Calibri" w:hAnsi="Calibri"/>
                <w:sz w:val="22"/>
              </w:rPr>
              <w:t>May 1, 2026</w:t>
            </w:r>
          </w:p>
        </w:tc>
        <w:tc>
          <w:tcPr>
            <w:tcW w:type="dxa" w:w="1234"/>
          </w:tcPr>
          <w:p>
            <w:r>
              <w:rPr>
                <w:rFonts w:ascii="Calibri" w:hAnsi="Calibri"/>
                <w:sz w:val="22"/>
              </w:rPr>
              <w:t>Routine tax withholding on vesting; not a discretionary sale</w:t>
            </w:r>
          </w:p>
        </w:tc>
      </w:tr>
    </w:tbl>
    <w:p>
      <w:r>
        <w:rPr>
          <w:rFonts w:ascii="Calibri" w:hAnsi="Calibri"/>
          <w:b/>
          <w:color w:val="525866"/>
          <w:sz w:val="22"/>
        </w:rPr>
        <w:t xml:space="preserve">Commentary: </w:t>
      </w:r>
      <w:r>
        <w:rPr>
          <w:rFonts w:ascii="Calibri" w:hAnsi="Calibri"/>
          <w:color w:val="525866"/>
          <w:sz w:val="22"/>
        </w:rPr>
        <w:t>No open-market purchases or discretionary sales were filed by any insider during the period. The RSU grant to Bob Fishman reflects his appointment as interim CFO rather than a market signal. The two tax-withholding forfeitures are routine and carry no informational content. The complete absence of insider buying during a ~24% stock decline — particularly from the CEO or board members — is a notable non-signal that warrants monitoring heading into the formal earnings call.</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