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Pentair plc (PNR) — Q2 2026 Earnings Preview</w:t>
      </w:r>
    </w:p>
    <w:p>
      <w:r>
        <w:rPr>
          <w:rFonts w:ascii="Calibri" w:hAnsi="Calibri"/>
          <w:b/>
          <w:color w:val="525866"/>
          <w:sz w:val="22"/>
        </w:rPr>
        <w:t xml:space="preserve">Prepared: </w:t>
      </w:r>
      <w:r>
        <w:rPr>
          <w:rFonts w:ascii="Calibri" w:hAnsi="Calibri"/>
          <w:color w:val="525866"/>
          <w:sz w:val="22"/>
        </w:rPr>
        <w:t xml:space="preserve">July 27, 2026  </w:t>
      </w:r>
      <w:r>
        <w:rPr>
          <w:rFonts w:ascii="Calibri" w:hAnsi="Calibri"/>
          <w:b/>
          <w:color w:val="525866"/>
          <w:sz w:val="22"/>
        </w:rPr>
        <w:t xml:space="preserve">Earnings Date: </w:t>
      </w:r>
      <w:r>
        <w:rPr>
          <w:rFonts w:ascii="Calibri" w:hAnsi="Calibri"/>
          <w:color w:val="525866"/>
          <w:sz w:val="22"/>
        </w:rPr>
        <w:t xml:space="preserve">July 28, 2026 (pre-market)  </w:t>
      </w:r>
      <w:r>
        <w:rPr>
          <w:rFonts w:ascii="Calibri" w:hAnsi="Calibri"/>
          <w:b/>
          <w:color w:val="525866"/>
          <w:sz w:val="22"/>
        </w:rPr>
        <w:t xml:space="preserve">Reporting Period: </w:t>
      </w:r>
      <w:r>
        <w:rPr>
          <w:rFonts w:ascii="Calibri" w:hAnsi="Calibri"/>
          <w:color w:val="525866"/>
          <w:sz w:val="22"/>
        </w:rPr>
        <w:t>Q2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Q2 print is already known — PNR preannounced on July 14 — so the call is entirely about </w:t>
      </w:r>
      <w:r>
        <w:rPr>
          <w:rFonts w:ascii="Calibri" w:hAnsi="Calibri"/>
          <w:b/>
          <w:color w:val="525866"/>
          <w:sz w:val="22"/>
        </w:rPr>
        <w:t>credibility, inventory normalization, and the path back to growth in 2027</w:t>
      </w:r>
      <w:r>
        <w:rPr>
          <w:rFonts w:ascii="Calibri" w:hAnsi="Calibri"/>
          <w:color w:val="525866"/>
          <w:sz w:val="22"/>
        </w:rPr>
        <w:t>; the bar is low on the headline but high on management's ability to explain what went wrong and why it won't repeat.</w:t>
      </w:r>
    </w:p>
    <w:p>
      <w:r>
        <w:rPr>
          <w:rFonts w:ascii="Calibri" w:hAnsi="Calibri"/>
          <w:color w:val="525866"/>
          <w:sz w:val="22"/>
        </w:rPr>
        <w:t xml:space="preserve">Pentair heads into its Q2 2026 earnings call on July 28 in an unusual position: the headline numbers are already public. On July 14, the company issued a negative preannouncement disclosing preliminary Q2 sales of approximately </w:t>
      </w:r>
      <w:r>
        <w:rPr>
          <w:rFonts w:ascii="Calibri" w:hAnsi="Calibri"/>
          <w:b/>
          <w:color w:val="525866"/>
          <w:sz w:val="22"/>
        </w:rPr>
        <w:t>$930 million</w:t>
      </w:r>
      <w:r>
        <w:rPr>
          <w:rFonts w:ascii="Calibri" w:hAnsi="Calibri"/>
          <w:color w:val="525866"/>
          <w:sz w:val="22"/>
        </w:rPr>
        <w:t xml:space="preserve"> (down ~17% vs. prior guidance of +1%), adjusted EPS of </w:t>
      </w:r>
      <w:r>
        <w:rPr>
          <w:rFonts w:ascii="Calibri" w:hAnsi="Calibri"/>
          <w:b/>
          <w:color w:val="525866"/>
          <w:sz w:val="22"/>
        </w:rPr>
        <w:t>$1.12</w:t>
      </w:r>
      <w:r>
        <w:rPr>
          <w:rFonts w:ascii="Calibri" w:hAnsi="Calibri"/>
          <w:color w:val="525866"/>
          <w:sz w:val="22"/>
        </w:rPr>
        <w:t xml:space="preserve"> (vs. guidance of $1.47–$1.50), and simultaneously slashed full-year 2026 adjusted EPS guidance to </w:t>
      </w:r>
      <w:r>
        <w:rPr>
          <w:rFonts w:ascii="Calibri" w:hAnsi="Calibri"/>
          <w:b/>
          <w:color w:val="525866"/>
          <w:sz w:val="22"/>
        </w:rPr>
        <w:t>$4.60–$4.80</w:t>
      </w:r>
      <w:r>
        <w:rPr>
          <w:rFonts w:ascii="Calibri" w:hAnsi="Calibri"/>
          <w:color w:val="525866"/>
          <w:sz w:val="22"/>
        </w:rPr>
        <w:t xml:space="preserve"> from $5.30–$5.40. The culprit was a </w:t>
      </w:r>
      <w:r>
        <w:rPr>
          <w:rFonts w:ascii="Calibri" w:hAnsi="Calibri"/>
          <w:b/>
          <w:color w:val="525866"/>
          <w:sz w:val="22"/>
        </w:rPr>
        <w:t>more pronounced-than-expected pool channel inventory destocking</w:t>
      </w:r>
      <w:r>
        <w:rPr>
          <w:rFonts w:ascii="Calibri" w:hAnsi="Calibri"/>
          <w:color w:val="525866"/>
          <w:sz w:val="22"/>
        </w:rPr>
        <w:t xml:space="preserve"> — estimated to have negatively impacted Q2 Pool segment sales by ~$170 million and Pool segment income by ~$105 million — compounded by worsening macro conditions (higher rates, inflation). The stock fell ~16% on the news and has since stabilized near $63. With the headline already digested, the call's swing factors are: (1) management's explanation of </w:t>
      </w:r>
      <w:r>
        <w:rPr>
          <w:rFonts w:ascii="Calibri" w:hAnsi="Calibri"/>
          <w:b/>
          <w:color w:val="525866"/>
          <w:sz w:val="22"/>
        </w:rPr>
        <w:t>why the destocking was so badly misjudged</w:t>
      </w:r>
      <w:r>
        <w:rPr>
          <w:rFonts w:ascii="Calibri" w:hAnsi="Calibri"/>
          <w:color w:val="525866"/>
          <w:sz w:val="22"/>
        </w:rPr>
        <w:t xml:space="preserve"> just 11 weeks after Q1 guidance, (2) the depth and duration of the pool channel reset, (3) whether Flow and Water Solutions can sustain their in-line performance as an offset, and (4) the credibility of the revised FY2026 guide and the 2027 recovery narrative. The simultaneous CFO departure (Nick Brazis, effective July 10) adds a governance overhang that management must address directly. The wildcard is whether management can quantify the </w:t>
      </w:r>
      <w:r>
        <w:rPr>
          <w:rFonts w:ascii="Calibri" w:hAnsi="Calibri"/>
          <w:b/>
          <w:color w:val="525866"/>
          <w:sz w:val="22"/>
        </w:rPr>
        <w:t>IEEPA tariff refund tailwind</w:t>
      </w:r>
      <w:r>
        <w:rPr>
          <w:rFonts w:ascii="Calibri" w:hAnsi="Calibri"/>
          <w:color w:val="525866"/>
          <w:sz w:val="22"/>
        </w:rPr>
        <w:t xml:space="preserve"> (~$35–$50M full year) and provide enough granularity on channel inventory levels to give investors confidence that the destocking is a 2026 event, not a structural demand problem.</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has been reset sharply lower post-preannouncement; the bar is now low on revenue and EPS, but </w:t>
      </w:r>
      <w:r>
        <w:rPr>
          <w:rFonts w:ascii="Calibri" w:hAnsi="Calibri"/>
          <w:b/>
          <w:color w:val="525866"/>
          <w:sz w:val="22"/>
        </w:rPr>
        <w:t>Pool segment sales and the credibility of the H2 recovery narrative</w:t>
      </w:r>
      <w:r>
        <w:rPr>
          <w:rFonts w:ascii="Calibri" w:hAnsi="Calibri"/>
          <w:color w:val="525866"/>
          <w:sz w:val="22"/>
        </w:rPr>
        <w:t xml:space="preserve"> are the real swing factors. Flow and Water Solutions performing in-line is the only near-term positive.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(Revised)</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Sales ($M)</w:t>
            </w:r>
          </w:p>
        </w:tc>
        <w:tc>
          <w:tcPr>
            <w:tcW w:type="dxa" w:w="1234"/>
          </w:tcPr>
          <w:p>
            <w:r>
              <w:rPr>
                <w:rFonts w:ascii="Calibri" w:hAnsi="Calibri"/>
                <w:sz w:val="22"/>
              </w:rPr>
              <w:t>$1,036.7</w:t>
            </w:r>
          </w:p>
        </w:tc>
        <w:tc>
          <w:tcPr>
            <w:tcW w:type="dxa" w:w="1234"/>
          </w:tcPr>
          <w:p>
            <w:r>
              <w:rPr>
                <w:rFonts w:ascii="Calibri" w:hAnsi="Calibri"/>
                <w:sz w:val="22"/>
              </w:rPr>
              <w:t>$1,123.1</w:t>
            </w:r>
          </w:p>
        </w:tc>
        <w:tc>
          <w:tcPr>
            <w:tcW w:type="dxa" w:w="1234"/>
          </w:tcPr>
          <w:p>
            <w:r>
              <w:rPr>
                <w:rFonts w:ascii="Calibri" w:hAnsi="Calibri"/>
                <w:sz w:val="22"/>
              </w:rPr>
              <w:t>$978.5</w:t>
            </w:r>
          </w:p>
        </w:tc>
        <w:tc>
          <w:tcPr>
            <w:tcW w:type="dxa" w:w="1234"/>
          </w:tcPr>
          <w:p>
            <w:r>
              <w:rPr>
                <w:rFonts w:ascii="Calibri" w:hAnsi="Calibri"/>
                <w:b/>
                <w:color w:val="E5484D"/>
                <w:sz w:val="22"/>
              </w:rPr>
              <w:t>-12.9%</w:t>
            </w:r>
          </w:p>
        </w:tc>
        <w:tc>
          <w:tcPr>
            <w:tcW w:type="dxa" w:w="1234"/>
          </w:tcPr>
          <w:p>
            <w:r>
              <w:rPr>
                <w:rFonts w:ascii="Calibri" w:hAnsi="Calibri"/>
                <w:sz w:val="22"/>
              </w:rPr>
              <w:t>~$930M (prelim.)</w:t>
            </w:r>
          </w:p>
        </w:tc>
        <w:tc>
          <w:tcPr>
            <w:tcW w:type="dxa" w:w="1234"/>
          </w:tcPr>
          <w:p>
            <w:r>
              <w:rPr>
                <w:rFonts w:ascii="Calibri" w:hAnsi="Calibri"/>
                <w:sz w:val="22"/>
              </w:rPr>
              <w:t>+5.2% above prelim.</w:t>
            </w:r>
          </w:p>
        </w:tc>
      </w:tr>
      <w:tr>
        <w:tc>
          <w:tcPr>
            <w:tcW w:type="dxa" w:w="1234"/>
          </w:tcPr>
          <w:p>
            <w:r>
              <w:rPr>
                <w:rFonts w:ascii="Calibri" w:hAnsi="Calibri"/>
                <w:sz w:val="22"/>
              </w:rPr>
              <w:t>Adj. EPS (excl. amort.)</w:t>
            </w:r>
          </w:p>
        </w:tc>
        <w:tc>
          <w:tcPr>
            <w:tcW w:type="dxa" w:w="1234"/>
          </w:tcPr>
          <w:p>
            <w:r>
              <w:rPr>
                <w:rFonts w:ascii="Calibri" w:hAnsi="Calibri"/>
                <w:sz w:val="22"/>
              </w:rPr>
              <w:t>$1.22</w:t>
            </w:r>
          </w:p>
        </w:tc>
        <w:tc>
          <w:tcPr>
            <w:tcW w:type="dxa" w:w="1234"/>
          </w:tcPr>
          <w:p>
            <w:r>
              <w:rPr>
                <w:rFonts w:ascii="Calibri" w:hAnsi="Calibri"/>
                <w:sz w:val="22"/>
              </w:rPr>
              <w:t>$1.39</w:t>
            </w:r>
          </w:p>
        </w:tc>
        <w:tc>
          <w:tcPr>
            <w:tcW w:type="dxa" w:w="1234"/>
          </w:tcPr>
          <w:p>
            <w:r>
              <w:rPr>
                <w:rFonts w:ascii="Calibri" w:hAnsi="Calibri"/>
                <w:sz w:val="22"/>
              </w:rPr>
              <w:t>$1.21</w:t>
            </w:r>
          </w:p>
        </w:tc>
        <w:tc>
          <w:tcPr>
            <w:tcW w:type="dxa" w:w="1234"/>
          </w:tcPr>
          <w:p>
            <w:r>
              <w:rPr>
                <w:rFonts w:ascii="Calibri" w:hAnsi="Calibri"/>
                <w:b/>
                <w:color w:val="E5484D"/>
                <w:sz w:val="22"/>
              </w:rPr>
              <w:t>-13.0%</w:t>
            </w:r>
          </w:p>
        </w:tc>
        <w:tc>
          <w:tcPr>
            <w:tcW w:type="dxa" w:w="1234"/>
          </w:tcPr>
          <w:p>
            <w:r>
              <w:rPr>
                <w:rFonts w:ascii="Calibri" w:hAnsi="Calibri"/>
                <w:sz w:val="22"/>
              </w:rPr>
              <w:t>~$1.12 (prelim.)</w:t>
            </w:r>
          </w:p>
        </w:tc>
        <w:tc>
          <w:tcPr>
            <w:tcW w:type="dxa" w:w="1234"/>
          </w:tcPr>
          <w:p>
            <w:r>
              <w:rPr>
                <w:rFonts w:ascii="Calibri" w:hAnsi="Calibri"/>
                <w:sz w:val="22"/>
              </w:rPr>
              <w:t>+8.0% above prelim.</w:t>
            </w:r>
          </w:p>
        </w:tc>
      </w:tr>
      <w:tr>
        <w:tc>
          <w:tcPr>
            <w:tcW w:type="dxa" w:w="1234"/>
          </w:tcPr>
          <w:p>
            <w:r>
              <w:rPr>
                <w:rFonts w:ascii="Calibri" w:hAnsi="Calibri"/>
                <w:sz w:val="22"/>
              </w:rPr>
              <w:t>Adj. Operating Margin (%)</w:t>
            </w:r>
          </w:p>
        </w:tc>
        <w:tc>
          <w:tcPr>
            <w:tcW w:type="dxa" w:w="1234"/>
          </w:tcPr>
          <w:p>
            <w:r>
              <w:rPr>
                <w:rFonts w:ascii="Calibri" w:hAnsi="Calibri"/>
                <w:sz w:val="22"/>
              </w:rPr>
              <w:t>25.0%</w:t>
            </w:r>
          </w:p>
        </w:tc>
        <w:tc>
          <w:tcPr>
            <w:tcW w:type="dxa" w:w="1234"/>
          </w:tcPr>
          <w:p>
            <w:r>
              <w:rPr>
                <w:rFonts w:ascii="Calibri" w:hAnsi="Calibri"/>
                <w:sz w:val="22"/>
              </w:rPr>
              <w:t>26.4%</w:t>
            </w:r>
          </w:p>
        </w:tc>
        <w:tc>
          <w:tcPr>
            <w:tcW w:type="dxa" w:w="1234"/>
          </w:tcPr>
          <w:p>
            <w:r>
              <w:rPr>
                <w:rFonts w:ascii="Calibri" w:hAnsi="Calibri"/>
                <w:sz w:val="22"/>
              </w:rPr>
              <w:t>25.5%</w:t>
            </w:r>
          </w:p>
        </w:tc>
        <w:tc>
          <w:tcPr>
            <w:tcW w:type="dxa" w:w="1234"/>
          </w:tcPr>
          <w:p>
            <w:r>
              <w:rPr>
                <w:rFonts w:ascii="Calibri" w:hAnsi="Calibri"/>
                <w:b/>
                <w:color w:val="E5484D"/>
                <w:sz w:val="22"/>
              </w:rPr>
              <w:t>-90 bps</w:t>
            </w:r>
          </w:p>
        </w:tc>
        <w:tc>
          <w:tcPr>
            <w:tcW w:type="dxa" w:w="1234"/>
          </w:tcPr>
          <w:p>
            <w:r>
              <w:rPr>
                <w:rFonts w:ascii="Calibri" w:hAnsi="Calibri"/>
                <w:sz w:val="22"/>
              </w:rPr>
              <w:t>~25.3% (implied)</w:t>
            </w:r>
          </w:p>
        </w:tc>
        <w:tc>
          <w:tcPr>
            <w:tcW w:type="dxa" w:w="1234"/>
          </w:tcPr>
          <w:p>
            <w:r>
              <w:rPr>
                <w:rFonts w:ascii="Calibri" w:hAnsi="Calibri"/>
                <w:sz w:val="22"/>
              </w:rPr>
              <w:t>+20 bps above implied</w:t>
            </w:r>
          </w:p>
        </w:tc>
      </w:tr>
      <w:tr>
        <w:tc>
          <w:tcPr>
            <w:tcW w:type="dxa" w:w="1234"/>
          </w:tcPr>
          <w:p>
            <w:r>
              <w:rPr>
                <w:rFonts w:ascii="Calibri" w:hAnsi="Calibri"/>
                <w:sz w:val="22"/>
              </w:rPr>
              <w:t>Pool Segment Sales ($M)</w:t>
            </w:r>
          </w:p>
        </w:tc>
        <w:tc>
          <w:tcPr>
            <w:tcW w:type="dxa" w:w="1234"/>
          </w:tcPr>
          <w:p>
            <w:r>
              <w:rPr>
                <w:rFonts w:ascii="Calibri" w:hAnsi="Calibri"/>
                <w:sz w:val="22"/>
              </w:rPr>
              <w:t>$387.1</w:t>
            </w:r>
          </w:p>
        </w:tc>
        <w:tc>
          <w:tcPr>
            <w:tcW w:type="dxa" w:w="1234"/>
          </w:tcPr>
          <w:p>
            <w:r>
              <w:rPr>
                <w:rFonts w:ascii="Calibri" w:hAnsi="Calibri"/>
                <w:sz w:val="22"/>
              </w:rPr>
              <w:t>$427.2</w:t>
            </w:r>
          </w:p>
        </w:tc>
        <w:tc>
          <w:tcPr>
            <w:tcW w:type="dxa" w:w="1234"/>
          </w:tcPr>
          <w:p>
            <w:r>
              <w:rPr>
                <w:rFonts w:ascii="Calibri" w:hAnsi="Calibri"/>
                <w:sz w:val="22"/>
              </w:rPr>
              <w:t>$292.5</w:t>
            </w:r>
          </w:p>
        </w:tc>
        <w:tc>
          <w:tcPr>
            <w:tcW w:type="dxa" w:w="1234"/>
          </w:tcPr>
          <w:p>
            <w:r>
              <w:rPr>
                <w:rFonts w:ascii="Calibri" w:hAnsi="Calibri"/>
                <w:b/>
                <w:color w:val="E5484D"/>
                <w:sz w:val="22"/>
              </w:rPr>
              <w:t>-31.5%</w:t>
            </w:r>
          </w:p>
        </w:tc>
        <w:tc>
          <w:tcPr>
            <w:tcW w:type="dxa" w:w="1234"/>
          </w:tcPr>
          <w:p>
            <w:r>
              <w:rPr>
                <w:rFonts w:ascii="Calibri" w:hAnsi="Calibri"/>
                <w:sz w:val="22"/>
              </w:rPr>
              <w:t>~$257M (implied from prelim.)</w:t>
            </w:r>
          </w:p>
        </w:tc>
        <w:tc>
          <w:tcPr>
            <w:tcW w:type="dxa" w:w="1234"/>
          </w:tcPr>
          <w:p>
            <w:r>
              <w:rPr>
                <w:rFonts w:ascii="Calibri" w:hAnsi="Calibri"/>
                <w:sz w:val="22"/>
              </w:rPr>
              <w:t>+13.8% above implied</w:t>
            </w:r>
          </w:p>
        </w:tc>
      </w:tr>
      <w:tr>
        <w:tc>
          <w:tcPr>
            <w:tcW w:type="dxa" w:w="1234"/>
          </w:tcPr>
          <w:p>
            <w:r>
              <w:rPr>
                <w:rFonts w:ascii="Calibri" w:hAnsi="Calibri"/>
                <w:sz w:val="22"/>
              </w:rPr>
              <w:t>Flow Segment Sales ($M)</w:t>
            </w:r>
          </w:p>
        </w:tc>
        <w:tc>
          <w:tcPr>
            <w:tcW w:type="dxa" w:w="1234"/>
          </w:tcPr>
          <w:p>
            <w:r>
              <w:rPr>
                <w:rFonts w:ascii="Calibri" w:hAnsi="Calibri"/>
                <w:sz w:val="22"/>
              </w:rPr>
              <w:t>$258.1</w:t>
            </w:r>
          </w:p>
        </w:tc>
        <w:tc>
          <w:tcPr>
            <w:tcW w:type="dxa" w:w="1234"/>
          </w:tcPr>
          <w:p>
            <w:r>
              <w:rPr>
                <w:rFonts w:ascii="Calibri" w:hAnsi="Calibri"/>
                <w:sz w:val="22"/>
              </w:rPr>
              <w:t>$250.9</w:t>
            </w:r>
          </w:p>
        </w:tc>
        <w:tc>
          <w:tcPr>
            <w:tcW w:type="dxa" w:w="1234"/>
          </w:tcPr>
          <w:p>
            <w:r>
              <w:rPr>
                <w:rFonts w:ascii="Calibri" w:hAnsi="Calibri"/>
                <w:sz w:val="22"/>
              </w:rPr>
              <w:t>$266.5</w:t>
            </w:r>
          </w:p>
        </w:tc>
        <w:tc>
          <w:tcPr>
            <w:tcW w:type="dxa" w:w="1234"/>
          </w:tcPr>
          <w:p>
            <w:r>
              <w:rPr>
                <w:rFonts w:ascii="Calibri" w:hAnsi="Calibri"/>
                <w:b/>
                <w:color w:val="30A46C"/>
                <w:sz w:val="22"/>
              </w:rPr>
              <w:t>+6.2%</w:t>
            </w:r>
          </w:p>
        </w:tc>
        <w:tc>
          <w:tcPr>
            <w:tcW w:type="dxa" w:w="1234"/>
          </w:tcPr>
          <w:p>
            <w:r>
              <w:rPr>
                <w:rFonts w:ascii="Calibri" w:hAnsi="Calibri"/>
                <w:sz w:val="22"/>
              </w:rPr>
              <w:t>In-line with prior guide</w:t>
            </w:r>
          </w:p>
        </w:tc>
        <w:tc>
          <w:tcPr>
            <w:tcW w:type="dxa" w:w="1234"/>
          </w:tcPr>
          <w:p>
            <w:r>
              <w:rPr>
                <w:rFonts w:ascii="Calibri" w:hAnsi="Calibri"/>
                <w:sz w:val="22"/>
              </w:rPr>
              <w:t>~Flat vs. guide</w:t>
            </w:r>
          </w:p>
        </w:tc>
      </w:tr>
      <w:tr>
        <w:tc>
          <w:tcPr>
            <w:tcW w:type="dxa" w:w="1234"/>
          </w:tcPr>
          <w:p>
            <w:r>
              <w:rPr>
                <w:rFonts w:ascii="Calibri" w:hAnsi="Calibri"/>
                <w:sz w:val="22"/>
              </w:rPr>
              <w:t>Water Solutions Sales ($M)</w:t>
            </w:r>
          </w:p>
        </w:tc>
        <w:tc>
          <w:tcPr>
            <w:tcW w:type="dxa" w:w="1234"/>
          </w:tcPr>
          <w:p>
            <w:r>
              <w:rPr>
                <w:rFonts w:ascii="Calibri" w:hAnsi="Calibri"/>
                <w:sz w:val="22"/>
              </w:rPr>
              <w:t>$391.0</w:t>
            </w:r>
          </w:p>
        </w:tc>
        <w:tc>
          <w:tcPr>
            <w:tcW w:type="dxa" w:w="1234"/>
          </w:tcPr>
          <w:p>
            <w:r>
              <w:rPr>
                <w:rFonts w:ascii="Calibri" w:hAnsi="Calibri"/>
                <w:sz w:val="22"/>
              </w:rPr>
              <w:t>$444.7</w:t>
            </w:r>
          </w:p>
        </w:tc>
        <w:tc>
          <w:tcPr>
            <w:tcW w:type="dxa" w:w="1234"/>
          </w:tcPr>
          <w:p>
            <w:r>
              <w:rPr>
                <w:rFonts w:ascii="Calibri" w:hAnsi="Calibri"/>
                <w:sz w:val="22"/>
              </w:rPr>
              <w:t>$423.3</w:t>
            </w:r>
          </w:p>
        </w:tc>
        <w:tc>
          <w:tcPr>
            <w:tcW w:type="dxa" w:w="1234"/>
          </w:tcPr>
          <w:p>
            <w:r>
              <w:rPr>
                <w:rFonts w:ascii="Calibri" w:hAnsi="Calibri"/>
                <w:b/>
                <w:color w:val="E5484D"/>
                <w:sz w:val="22"/>
              </w:rPr>
              <w:t>-4.8%</w:t>
            </w:r>
          </w:p>
        </w:tc>
        <w:tc>
          <w:tcPr>
            <w:tcW w:type="dxa" w:w="1234"/>
          </w:tcPr>
          <w:p>
            <w:r>
              <w:rPr>
                <w:rFonts w:ascii="Calibri" w:hAnsi="Calibri"/>
                <w:sz w:val="22"/>
              </w:rPr>
              <w:t>In-line with prior guide</w:t>
            </w:r>
          </w:p>
        </w:tc>
        <w:tc>
          <w:tcPr>
            <w:tcW w:type="dxa" w:w="1234"/>
          </w:tcPr>
          <w:p>
            <w:r>
              <w:rPr>
                <w:rFonts w:ascii="Calibri" w:hAnsi="Calibri"/>
                <w:sz w:val="22"/>
              </w:rPr>
              <w:t>~Flat vs. guide</w:t>
            </w:r>
          </w:p>
        </w:tc>
      </w:tr>
    </w:tbl>
    <w:p>
      <w:r>
        <w:rPr>
          <w:rFonts w:ascii="Calibri" w:hAnsi="Calibri"/>
          <w:i/>
          <w:color w:val="525866"/>
          <w:sz w:val="22"/>
        </w:rPr>
        <w:t xml:space="preserve">Sources: </w:t>
      </w:r>
      <w:r>
        <w:rPr>
          <w:rFonts w:ascii="Calibri" w:hAnsi="Calibri"/>
          <w:i/>
          <w:color w:val="525866"/>
          <w:sz w:val="22"/>
        </w:rPr>
        <w:t>Visible Alpha Consensus and Actuals Data; PNR July 14, 2026 preliminary Q2 earnings release (8-K EX-99.1). Note: Q2 2026 consensus estimates reflect post-preannouncement reset. Pool segment implied guidance derived from $930M total sales prelim. with Flow and Water Solutions performing in-line with prior guide.</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$1.22</w:t>
            </w:r>
          </w:p>
        </w:tc>
        <w:tc>
          <w:tcPr>
            <w:tcW w:type="dxa" w:w="1440"/>
          </w:tcPr>
          <w:p>
            <w:r>
              <w:rPr>
                <w:rFonts w:ascii="Calibri" w:hAnsi="Calibri"/>
                <w:sz w:val="22"/>
              </w:rPr>
              <w:t>$1.14</w:t>
            </w:r>
          </w:p>
        </w:tc>
        <w:tc>
          <w:tcPr>
            <w:tcW w:type="dxa" w:w="1440"/>
          </w:tcPr>
          <w:p>
            <w:r>
              <w:rPr>
                <w:rFonts w:ascii="Calibri" w:hAnsi="Calibri"/>
                <w:b/>
                <w:color w:val="30A46C"/>
                <w:sz w:val="22"/>
              </w:rPr>
              <w:t>+7.0%</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Net Sales</w:t>
            </w:r>
          </w:p>
        </w:tc>
        <w:tc>
          <w:tcPr>
            <w:tcW w:type="dxa" w:w="1440"/>
          </w:tcPr>
          <w:p>
            <w:r>
              <w:rPr>
                <w:rFonts w:ascii="Calibri" w:hAnsi="Calibri"/>
                <w:sz w:val="22"/>
              </w:rPr>
              <w:t>$1,099.3M</w:t>
            </w:r>
          </w:p>
        </w:tc>
        <w:tc>
          <w:tcPr>
            <w:tcW w:type="dxa" w:w="1440"/>
          </w:tcPr>
          <w:p>
            <w:r>
              <w:rPr>
                <w:rFonts w:ascii="Calibri" w:hAnsi="Calibri"/>
                <w:sz w:val="22"/>
              </w:rPr>
              <w:t>$1,092.2M</w:t>
            </w:r>
          </w:p>
        </w:tc>
        <w:tc>
          <w:tcPr>
            <w:tcW w:type="dxa" w:w="1440"/>
          </w:tcPr>
          <w:p>
            <w:r>
              <w:rPr>
                <w:rFonts w:ascii="Calibri" w:hAnsi="Calibri"/>
                <w:b/>
                <w:color w:val="30A46C"/>
                <w:sz w:val="22"/>
              </w:rPr>
              <w:t>+0.7%</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$1.09</w:t>
            </w:r>
          </w:p>
        </w:tc>
        <w:tc>
          <w:tcPr>
            <w:tcW w:type="dxa" w:w="1440"/>
          </w:tcPr>
          <w:p>
            <w:r>
              <w:rPr>
                <w:rFonts w:ascii="Calibri" w:hAnsi="Calibri"/>
                <w:sz w:val="22"/>
              </w:rPr>
              <w:t>$1.07</w:t>
            </w:r>
          </w:p>
        </w:tc>
        <w:tc>
          <w:tcPr>
            <w:tcW w:type="dxa" w:w="1440"/>
          </w:tcPr>
          <w:p>
            <w:r>
              <w:rPr>
                <w:rFonts w:ascii="Calibri" w:hAnsi="Calibri"/>
                <w:b/>
                <w:color w:val="30A46C"/>
                <w:sz w:val="22"/>
              </w:rPr>
              <w:t>+1.9%</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Net Sales</w:t>
            </w:r>
          </w:p>
        </w:tc>
        <w:tc>
          <w:tcPr>
            <w:tcW w:type="dxa" w:w="1440"/>
          </w:tcPr>
          <w:p>
            <w:r>
              <w:rPr>
                <w:rFonts w:ascii="Calibri" w:hAnsi="Calibri"/>
                <w:sz w:val="22"/>
              </w:rPr>
              <w:t>$993.4M</w:t>
            </w:r>
          </w:p>
        </w:tc>
        <w:tc>
          <w:tcPr>
            <w:tcW w:type="dxa" w:w="1440"/>
          </w:tcPr>
          <w:p>
            <w:r>
              <w:rPr>
                <w:rFonts w:ascii="Calibri" w:hAnsi="Calibri"/>
                <w:sz w:val="22"/>
              </w:rPr>
              <w:t>$987.7M</w:t>
            </w:r>
          </w:p>
        </w:tc>
        <w:tc>
          <w:tcPr>
            <w:tcW w:type="dxa" w:w="1440"/>
          </w:tcPr>
          <w:p>
            <w:r>
              <w:rPr>
                <w:rFonts w:ascii="Calibri" w:hAnsi="Calibri"/>
                <w:b/>
                <w:color w:val="30A46C"/>
                <w:sz w:val="22"/>
              </w:rPr>
              <w:t>+0.6%</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$1.08</w:t>
            </w:r>
          </w:p>
        </w:tc>
        <w:tc>
          <w:tcPr>
            <w:tcW w:type="dxa" w:w="1440"/>
          </w:tcPr>
          <w:p>
            <w:r>
              <w:rPr>
                <w:rFonts w:ascii="Calibri" w:hAnsi="Calibri"/>
                <w:sz w:val="22"/>
              </w:rPr>
              <w:t>$1.02</w:t>
            </w:r>
          </w:p>
        </w:tc>
        <w:tc>
          <w:tcPr>
            <w:tcW w:type="dxa" w:w="1440"/>
          </w:tcPr>
          <w:p>
            <w:r>
              <w:rPr>
                <w:rFonts w:ascii="Calibri" w:hAnsi="Calibri"/>
                <w:b/>
                <w:color w:val="30A46C"/>
                <w:sz w:val="22"/>
              </w:rPr>
              <w:t>+5.9%</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Net Sales</w:t>
            </w:r>
          </w:p>
        </w:tc>
        <w:tc>
          <w:tcPr>
            <w:tcW w:type="dxa" w:w="1440"/>
          </w:tcPr>
          <w:p>
            <w:r>
              <w:rPr>
                <w:rFonts w:ascii="Calibri" w:hAnsi="Calibri"/>
                <w:sz w:val="22"/>
              </w:rPr>
              <w:t>$972.9M</w:t>
            </w:r>
          </w:p>
        </w:tc>
        <w:tc>
          <w:tcPr>
            <w:tcW w:type="dxa" w:w="1440"/>
          </w:tcPr>
          <w:p>
            <w:r>
              <w:rPr>
                <w:rFonts w:ascii="Calibri" w:hAnsi="Calibri"/>
                <w:sz w:val="22"/>
              </w:rPr>
              <w:t>$972.0M</w:t>
            </w:r>
          </w:p>
        </w:tc>
        <w:tc>
          <w:tcPr>
            <w:tcW w:type="dxa" w:w="1440"/>
          </w:tcPr>
          <w:p>
            <w:r>
              <w:rPr>
                <w:rFonts w:ascii="Calibri" w:hAnsi="Calibri"/>
                <w:b/>
                <w:color w:val="30A46C"/>
                <w:sz w:val="22"/>
              </w:rPr>
              <w:t>+0.1%</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$1.11</w:t>
            </w:r>
          </w:p>
        </w:tc>
        <w:tc>
          <w:tcPr>
            <w:tcW w:type="dxa" w:w="1440"/>
          </w:tcPr>
          <w:p>
            <w:r>
              <w:rPr>
                <w:rFonts w:ascii="Calibri" w:hAnsi="Calibri"/>
                <w:sz w:val="22"/>
              </w:rPr>
              <w:t>$1.01</w:t>
            </w:r>
          </w:p>
        </w:tc>
        <w:tc>
          <w:tcPr>
            <w:tcW w:type="dxa" w:w="1440"/>
          </w:tcPr>
          <w:p>
            <w:r>
              <w:rPr>
                <w:rFonts w:ascii="Calibri" w:hAnsi="Calibri"/>
                <w:b/>
                <w:color w:val="30A46C"/>
                <w:sz w:val="22"/>
              </w:rPr>
              <w:t>+9.9%</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Net Sales</w:t>
            </w:r>
          </w:p>
        </w:tc>
        <w:tc>
          <w:tcPr>
            <w:tcW w:type="dxa" w:w="1440"/>
          </w:tcPr>
          <w:p>
            <w:r>
              <w:rPr>
                <w:rFonts w:ascii="Calibri" w:hAnsi="Calibri"/>
                <w:sz w:val="22"/>
              </w:rPr>
              <w:t>$1,010.4M</w:t>
            </w:r>
          </w:p>
        </w:tc>
        <w:tc>
          <w:tcPr>
            <w:tcW w:type="dxa" w:w="1440"/>
          </w:tcPr>
          <w:p>
            <w:r>
              <w:rPr>
                <w:rFonts w:ascii="Calibri" w:hAnsi="Calibri"/>
                <w:sz w:val="22"/>
              </w:rPr>
              <w:t>$985.1M</w:t>
            </w:r>
          </w:p>
        </w:tc>
        <w:tc>
          <w:tcPr>
            <w:tcW w:type="dxa" w:w="1440"/>
          </w:tcPr>
          <w:p>
            <w:r>
              <w:rPr>
                <w:rFonts w:ascii="Calibri" w:hAnsi="Calibri"/>
                <w:b/>
                <w:color w:val="30A46C"/>
                <w:sz w:val="22"/>
              </w:rPr>
              <w:t>+2.6%</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$1.39</w:t>
            </w:r>
          </w:p>
        </w:tc>
        <w:tc>
          <w:tcPr>
            <w:tcW w:type="dxa" w:w="1440"/>
          </w:tcPr>
          <w:p>
            <w:r>
              <w:rPr>
                <w:rFonts w:ascii="Calibri" w:hAnsi="Calibri"/>
                <w:sz w:val="22"/>
              </w:rPr>
              <w:t>$1.33</w:t>
            </w:r>
          </w:p>
        </w:tc>
        <w:tc>
          <w:tcPr>
            <w:tcW w:type="dxa" w:w="1440"/>
          </w:tcPr>
          <w:p>
            <w:r>
              <w:rPr>
                <w:rFonts w:ascii="Calibri" w:hAnsi="Calibri"/>
                <w:b/>
                <w:color w:val="30A46C"/>
                <w:sz w:val="22"/>
              </w:rPr>
              <w:t>+4.5%</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Net Sales</w:t>
            </w:r>
          </w:p>
        </w:tc>
        <w:tc>
          <w:tcPr>
            <w:tcW w:type="dxa" w:w="1440"/>
          </w:tcPr>
          <w:p>
            <w:r>
              <w:rPr>
                <w:rFonts w:ascii="Calibri" w:hAnsi="Calibri"/>
                <w:sz w:val="22"/>
              </w:rPr>
              <w:t>$1,123.1M</w:t>
            </w:r>
          </w:p>
        </w:tc>
        <w:tc>
          <w:tcPr>
            <w:tcW w:type="dxa" w:w="1440"/>
          </w:tcPr>
          <w:p>
            <w:r>
              <w:rPr>
                <w:rFonts w:ascii="Calibri" w:hAnsi="Calibri"/>
                <w:sz w:val="22"/>
              </w:rPr>
              <w:t>$1,116.4M</w:t>
            </w:r>
          </w:p>
        </w:tc>
        <w:tc>
          <w:tcPr>
            <w:tcW w:type="dxa" w:w="1440"/>
          </w:tcPr>
          <w:p>
            <w:r>
              <w:rPr>
                <w:rFonts w:ascii="Calibri" w:hAnsi="Calibri"/>
                <w:b/>
                <w:color w:val="30A46C"/>
                <w:sz w:val="22"/>
              </w:rPr>
              <w:t>+0.6%</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$1.24</w:t>
            </w:r>
          </w:p>
        </w:tc>
        <w:tc>
          <w:tcPr>
            <w:tcW w:type="dxa" w:w="1440"/>
          </w:tcPr>
          <w:p>
            <w:r>
              <w:rPr>
                <w:rFonts w:ascii="Calibri" w:hAnsi="Calibri"/>
                <w:sz w:val="22"/>
              </w:rPr>
              <w:t>$1.18</w:t>
            </w:r>
          </w:p>
        </w:tc>
        <w:tc>
          <w:tcPr>
            <w:tcW w:type="dxa" w:w="1440"/>
          </w:tcPr>
          <w:p>
            <w:r>
              <w:rPr>
                <w:rFonts w:ascii="Calibri" w:hAnsi="Calibri"/>
                <w:b/>
                <w:color w:val="30A46C"/>
                <w:sz w:val="22"/>
              </w:rPr>
              <w:t>+5.1%</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Net Sales</w:t>
            </w:r>
          </w:p>
        </w:tc>
        <w:tc>
          <w:tcPr>
            <w:tcW w:type="dxa" w:w="1440"/>
          </w:tcPr>
          <w:p>
            <w:r>
              <w:rPr>
                <w:rFonts w:ascii="Calibri" w:hAnsi="Calibri"/>
                <w:sz w:val="22"/>
              </w:rPr>
              <w:t>$1,022.0M</w:t>
            </w:r>
          </w:p>
        </w:tc>
        <w:tc>
          <w:tcPr>
            <w:tcW w:type="dxa" w:w="1440"/>
          </w:tcPr>
          <w:p>
            <w:r>
              <w:rPr>
                <w:rFonts w:ascii="Calibri" w:hAnsi="Calibri"/>
                <w:sz w:val="22"/>
              </w:rPr>
              <w:t>$1,005.0M</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$1.18</w:t>
            </w:r>
          </w:p>
        </w:tc>
        <w:tc>
          <w:tcPr>
            <w:tcW w:type="dxa" w:w="1440"/>
          </w:tcPr>
          <w:p>
            <w:r>
              <w:rPr>
                <w:rFonts w:ascii="Calibri" w:hAnsi="Calibri"/>
                <w:sz w:val="22"/>
              </w:rPr>
              <w:t>$1.16</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Net Sales</w:t>
            </w:r>
          </w:p>
        </w:tc>
        <w:tc>
          <w:tcPr>
            <w:tcW w:type="dxa" w:w="1440"/>
          </w:tcPr>
          <w:p>
            <w:r>
              <w:rPr>
                <w:rFonts w:ascii="Calibri" w:hAnsi="Calibri"/>
                <w:sz w:val="22"/>
              </w:rPr>
              <w:t>$1,020.5M</w:t>
            </w:r>
          </w:p>
        </w:tc>
        <w:tc>
          <w:tcPr>
            <w:tcW w:type="dxa" w:w="1440"/>
          </w:tcPr>
          <w:p>
            <w:r>
              <w:rPr>
                <w:rFonts w:ascii="Calibri" w:hAnsi="Calibri"/>
                <w:sz w:val="22"/>
              </w:rPr>
              <w:t>$1,009.1M</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$1.22</w:t>
            </w:r>
          </w:p>
        </w:tc>
        <w:tc>
          <w:tcPr>
            <w:tcW w:type="dxa" w:w="1440"/>
          </w:tcPr>
          <w:p>
            <w:r>
              <w:rPr>
                <w:rFonts w:ascii="Calibri" w:hAnsi="Calibri"/>
                <w:sz w:val="22"/>
              </w:rPr>
              <w:t>$1.16</w:t>
            </w:r>
          </w:p>
        </w:tc>
        <w:tc>
          <w:tcPr>
            <w:tcW w:type="dxa" w:w="1440"/>
          </w:tcPr>
          <w:p>
            <w:r>
              <w:rPr>
                <w:rFonts w:ascii="Calibri" w:hAnsi="Calibri"/>
                <w:b/>
                <w:color w:val="30A46C"/>
                <w:sz w:val="22"/>
              </w:rPr>
              <w:t>+5.2%</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Net Sales</w:t>
            </w:r>
          </w:p>
        </w:tc>
        <w:tc>
          <w:tcPr>
            <w:tcW w:type="dxa" w:w="1440"/>
          </w:tcPr>
          <w:p>
            <w:r>
              <w:rPr>
                <w:rFonts w:ascii="Calibri" w:hAnsi="Calibri"/>
                <w:sz w:val="22"/>
              </w:rPr>
              <w:t>$1,036.7M</w:t>
            </w:r>
          </w:p>
        </w:tc>
        <w:tc>
          <w:tcPr>
            <w:tcW w:type="dxa" w:w="1440"/>
          </w:tcPr>
          <w:p>
            <w:r>
              <w:rPr>
                <w:rFonts w:ascii="Calibri" w:hAnsi="Calibri"/>
                <w:sz w:val="22"/>
              </w:rPr>
              <w:t>$1,023.9M</w:t>
            </w:r>
          </w:p>
        </w:tc>
        <w:tc>
          <w:tcPr>
            <w:tcW w:type="dxa" w:w="1440"/>
          </w:tcPr>
          <w:p>
            <w:r>
              <w:rPr>
                <w:rFonts w:ascii="Calibri" w:hAnsi="Calibri"/>
                <w:b/>
                <w:color w:val="30A46C"/>
                <w:sz w:val="22"/>
              </w:rPr>
              <w:t>+1.2%</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PNR has beaten consensus on both Adj. EPS and Net Sales in each of the last 8 reported quarters, with EPS beats ranging from +1.7% to +9.9% — a consistent track record that makes the Q2 2026 preannouncement miss (Adj. EPS ~$1.12 vs. prior guidance of $1.47–$1.50) all the more jarring and credibility-damaging.</w:t>
      </w:r>
      <w:r>
        <w:rPr>
          <w:rFonts w:ascii="Calibri" w:hAnsi="Calibri"/>
          <w:i/>
          <w:color w:val="525866"/>
          <w:sz w:val="22"/>
        </w:rPr>
        <w:t xml:space="preserv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dramatically revised on July 14 via preannouncement — full-year adjusted EPS cut by ~$0.65 at the midpoint and revenue guidance flipped from +2–4% to -4–7% — driven entirely by a pool channel destocking that management failed to anticipate just 11 weeks earlier. </w:t>
      </w:r>
      <w:r>
        <w:rPr>
          <w:rFonts w:ascii="Calibri" w:hAnsi="Calibri"/>
          <w:b/>
          <w:color w:val="525866"/>
          <w:sz w:val="22"/>
        </w:rPr>
        <w:t>Tone has shifted sharply from cautious optimism to damage control.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28)</w:t>
            </w:r>
          </w:p>
        </w:tc>
        <w:tc>
          <w:tcPr>
            <w:tcW w:type="dxa" w:w="1728"/>
            <w:shd w:val="clear" w:color="auto" w:fill="3B4259"/>
          </w:tcPr>
          <w:p>
            <w:r>
              <w:rPr>
                <w:rFonts w:ascii="Calibri" w:hAnsi="Calibri"/>
                <w:b/>
                <w:color w:val="FFFFFF"/>
                <w:sz w:val="22"/>
              </w:rPr>
              <w:t>Revised Guidance (July 14 Preannouncement)</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Net Sales</w:t>
            </w:r>
          </w:p>
        </w:tc>
        <w:tc>
          <w:tcPr>
            <w:tcW w:type="dxa" w:w="1728"/>
          </w:tcPr>
          <w:p>
            <w:r>
              <w:rPr>
                <w:rFonts w:ascii="Calibri" w:hAnsi="Calibri"/>
                <w:sz w:val="22"/>
              </w:rPr>
              <w:t>Up ~1% YoY</w:t>
            </w:r>
          </w:p>
        </w:tc>
        <w:tc>
          <w:tcPr>
            <w:tcW w:type="dxa" w:w="1728"/>
          </w:tcPr>
          <w:p>
            <w:r>
              <w:rPr>
                <w:rFonts w:ascii="Calibri" w:hAnsi="Calibri"/>
                <w:b/>
                <w:color w:val="E5484D"/>
                <w:sz w:val="22"/>
              </w:rPr>
              <w:t>~$930M (down ~17% vs. prior guide)</w:t>
            </w:r>
          </w:p>
        </w:tc>
        <w:tc>
          <w:tcPr>
            <w:tcW w:type="dxa" w:w="1728"/>
          </w:tcPr>
          <w:p>
            <w:r>
              <w:rPr>
                <w:rFonts w:ascii="Calibri" w:hAnsi="Calibri"/>
                <w:sz w:val="22"/>
              </w:rPr>
              <w:t>$978.5M</w:t>
            </w:r>
          </w:p>
        </w:tc>
        <w:tc>
          <w:tcPr>
            <w:tcW w:type="dxa" w:w="1728"/>
          </w:tcPr>
          <w:p>
            <w:r>
              <w:rPr>
                <w:rFonts w:ascii="Calibri" w:hAnsi="Calibri"/>
                <w:sz w:val="22"/>
              </w:rPr>
              <w:t>↓ Lowered via preannouncement July 14; pool channel destocking ~$170M impact</w:t>
            </w:r>
          </w:p>
        </w:tc>
      </w:tr>
      <w:tr>
        <w:tc>
          <w:tcPr>
            <w:tcW w:type="dxa" w:w="1728"/>
          </w:tcPr>
          <w:p>
            <w:r>
              <w:rPr>
                <w:rFonts w:ascii="Calibri" w:hAnsi="Calibri"/>
                <w:sz w:val="22"/>
              </w:rPr>
              <w:t>Q2 2026 Adj. EPS</w:t>
            </w:r>
          </w:p>
        </w:tc>
        <w:tc>
          <w:tcPr>
            <w:tcW w:type="dxa" w:w="1728"/>
          </w:tcPr>
          <w:p>
            <w:r>
              <w:rPr>
                <w:rFonts w:ascii="Calibri" w:hAnsi="Calibri"/>
                <w:sz w:val="22"/>
              </w:rPr>
              <w:t>$1.47–$1.50</w:t>
            </w:r>
          </w:p>
        </w:tc>
        <w:tc>
          <w:tcPr>
            <w:tcW w:type="dxa" w:w="1728"/>
          </w:tcPr>
          <w:p>
            <w:r>
              <w:rPr>
                <w:rFonts w:ascii="Calibri" w:hAnsi="Calibri"/>
                <w:b/>
                <w:color w:val="E5484D"/>
                <w:sz w:val="22"/>
              </w:rPr>
              <w:t>~$1.12</w:t>
            </w:r>
          </w:p>
        </w:tc>
        <w:tc>
          <w:tcPr>
            <w:tcW w:type="dxa" w:w="1728"/>
          </w:tcPr>
          <w:p>
            <w:r>
              <w:rPr>
                <w:rFonts w:ascii="Calibri" w:hAnsi="Calibri"/>
                <w:sz w:val="22"/>
              </w:rPr>
              <w:t>$1.21</w:t>
            </w:r>
          </w:p>
        </w:tc>
        <w:tc>
          <w:tcPr>
            <w:tcW w:type="dxa" w:w="1728"/>
          </w:tcPr>
          <w:p>
            <w:r>
              <w:rPr>
                <w:rFonts w:ascii="Calibri" w:hAnsi="Calibri"/>
                <w:sz w:val="22"/>
              </w:rPr>
              <w:t>↓ Lowered via preannouncement July 14; includes ~$35M IEEPA tariff refunds</w:t>
            </w:r>
          </w:p>
        </w:tc>
      </w:tr>
      <w:tr>
        <w:tc>
          <w:tcPr>
            <w:tcW w:type="dxa" w:w="1728"/>
          </w:tcPr>
          <w:p>
            <w:r>
              <w:rPr>
                <w:rFonts w:ascii="Calibri" w:hAnsi="Calibri"/>
                <w:sz w:val="22"/>
              </w:rPr>
              <w:t>Q2 2026 Adj. Operating Income</w:t>
            </w:r>
          </w:p>
        </w:tc>
        <w:tc>
          <w:tcPr>
            <w:tcW w:type="dxa" w:w="1728"/>
          </w:tcPr>
          <w:p>
            <w:r>
              <w:rPr>
                <w:rFonts w:ascii="Calibri" w:hAnsi="Calibri"/>
                <w:sz w:val="22"/>
              </w:rPr>
              <w:t>Up ~5–6% YoY</w:t>
            </w:r>
          </w:p>
        </w:tc>
        <w:tc>
          <w:tcPr>
            <w:tcW w:type="dxa" w:w="1728"/>
          </w:tcPr>
          <w:p>
            <w:r>
              <w:rPr>
                <w:rFonts w:ascii="Calibri" w:hAnsi="Calibri"/>
                <w:b/>
                <w:color w:val="E5484D"/>
                <w:sz w:val="22"/>
              </w:rPr>
              <w:t>~$235M</w:t>
            </w:r>
          </w:p>
        </w:tc>
        <w:tc>
          <w:tcPr>
            <w:tcW w:type="dxa" w:w="1728"/>
          </w:tcPr>
          <w:p>
            <w:r>
              <w:rPr>
                <w:rFonts w:ascii="Calibri" w:hAnsi="Calibri"/>
                <w:sz w:val="22"/>
              </w:rPr>
              <w:t>N/A</w:t>
            </w:r>
          </w:p>
        </w:tc>
        <w:tc>
          <w:tcPr>
            <w:tcW w:type="dxa" w:w="1728"/>
          </w:tcPr>
          <w:p>
            <w:r>
              <w:rPr>
                <w:rFonts w:ascii="Calibri" w:hAnsi="Calibri"/>
                <w:sz w:val="22"/>
              </w:rPr>
              <w:t>↓ Lowered via preannouncement July 14</w:t>
            </w:r>
          </w:p>
        </w:tc>
      </w:tr>
      <w:tr>
        <w:tc>
          <w:tcPr>
            <w:tcW w:type="dxa" w:w="1728"/>
          </w:tcPr>
          <w:p>
            <w:r>
              <w:rPr>
                <w:rFonts w:ascii="Calibri" w:hAnsi="Calibri"/>
                <w:sz w:val="22"/>
              </w:rPr>
              <w:t>FY2026 Net Sales</w:t>
            </w:r>
          </w:p>
        </w:tc>
        <w:tc>
          <w:tcPr>
            <w:tcW w:type="dxa" w:w="1728"/>
          </w:tcPr>
          <w:p>
            <w:r>
              <w:rPr>
                <w:rFonts w:ascii="Calibri" w:hAnsi="Calibri"/>
                <w:sz w:val="22"/>
              </w:rPr>
              <w:t>Up ~2–4%</w:t>
            </w:r>
          </w:p>
        </w:tc>
        <w:tc>
          <w:tcPr>
            <w:tcW w:type="dxa" w:w="1728"/>
          </w:tcPr>
          <w:p>
            <w:r>
              <w:rPr>
                <w:rFonts w:ascii="Calibri" w:hAnsi="Calibri"/>
                <w:b/>
                <w:color w:val="E5484D"/>
                <w:sz w:val="22"/>
              </w:rPr>
              <w:t>Down ~4–7%</w:t>
            </w:r>
          </w:p>
        </w:tc>
        <w:tc>
          <w:tcPr>
            <w:tcW w:type="dxa" w:w="1728"/>
          </w:tcPr>
          <w:p>
            <w:r>
              <w:rPr>
                <w:rFonts w:ascii="Calibri" w:hAnsi="Calibri"/>
                <w:sz w:val="22"/>
              </w:rPr>
              <w:t>$4,016.7M</w:t>
            </w:r>
          </w:p>
        </w:tc>
        <w:tc>
          <w:tcPr>
            <w:tcW w:type="dxa" w:w="1728"/>
          </w:tcPr>
          <w:p>
            <w:r>
              <w:rPr>
                <w:rFonts w:ascii="Calibri" w:hAnsi="Calibri"/>
                <w:sz w:val="22"/>
              </w:rPr>
              <w:t>↓ Lowered July 14; pool destocking ~$250M full-year impact; right-sizing for 2027 season</w:t>
            </w:r>
          </w:p>
        </w:tc>
      </w:tr>
      <w:tr>
        <w:tc>
          <w:tcPr>
            <w:tcW w:type="dxa" w:w="1728"/>
          </w:tcPr>
          <w:p>
            <w:r>
              <w:rPr>
                <w:rFonts w:ascii="Calibri" w:hAnsi="Calibri"/>
                <w:sz w:val="22"/>
              </w:rPr>
              <w:t>FY2026 Adj. EPS</w:t>
            </w:r>
          </w:p>
        </w:tc>
        <w:tc>
          <w:tcPr>
            <w:tcW w:type="dxa" w:w="1728"/>
          </w:tcPr>
          <w:p>
            <w:r>
              <w:rPr>
                <w:rFonts w:ascii="Calibri" w:hAnsi="Calibri"/>
                <w:sz w:val="22"/>
              </w:rPr>
              <w:t>$5.30–$5.40</w:t>
            </w:r>
          </w:p>
        </w:tc>
        <w:tc>
          <w:tcPr>
            <w:tcW w:type="dxa" w:w="1728"/>
          </w:tcPr>
          <w:p>
            <w:r>
              <w:rPr>
                <w:rFonts w:ascii="Calibri" w:hAnsi="Calibri"/>
                <w:b/>
                <w:color w:val="E5484D"/>
                <w:sz w:val="22"/>
              </w:rPr>
              <w:t>$4.60–$4.80</w:t>
            </w:r>
          </w:p>
        </w:tc>
        <w:tc>
          <w:tcPr>
            <w:tcW w:type="dxa" w:w="1728"/>
          </w:tcPr>
          <w:p>
            <w:r>
              <w:rPr>
                <w:rFonts w:ascii="Calibri" w:hAnsi="Calibri"/>
                <w:sz w:val="22"/>
              </w:rPr>
              <w:t>$4.84</w:t>
            </w:r>
          </w:p>
        </w:tc>
        <w:tc>
          <w:tcPr>
            <w:tcW w:type="dxa" w:w="1728"/>
          </w:tcPr>
          <w:p>
            <w:r>
              <w:rPr>
                <w:rFonts w:ascii="Calibri" w:hAnsi="Calibri"/>
                <w:sz w:val="22"/>
              </w:rPr>
              <w:t>↓ Lowered July 14; midpoint cut ~$0.65; includes $35–$50M IEEPA refunds</w:t>
            </w:r>
          </w:p>
        </w:tc>
      </w:tr>
      <w:tr>
        <w:tc>
          <w:tcPr>
            <w:tcW w:type="dxa" w:w="1728"/>
          </w:tcPr>
          <w:p>
            <w:r>
              <w:rPr>
                <w:rFonts w:ascii="Calibri" w:hAnsi="Calibri"/>
                <w:sz w:val="22"/>
              </w:rPr>
              <w:t>FY2026 Adj. Operating Income</w:t>
            </w:r>
          </w:p>
        </w:tc>
        <w:tc>
          <w:tcPr>
            <w:tcW w:type="dxa" w:w="1728"/>
          </w:tcPr>
          <w:p>
            <w:r>
              <w:rPr>
                <w:rFonts w:ascii="Calibri" w:hAnsi="Calibri"/>
                <w:sz w:val="22"/>
              </w:rPr>
              <w:t>Up ~6–8%</w:t>
            </w:r>
          </w:p>
        </w:tc>
        <w:tc>
          <w:tcPr>
            <w:tcW w:type="dxa" w:w="1728"/>
          </w:tcPr>
          <w:p>
            <w:r>
              <w:rPr>
                <w:rFonts w:ascii="Calibri" w:hAnsi="Calibri"/>
                <w:b/>
                <w:color w:val="E5484D"/>
                <w:sz w:val="22"/>
              </w:rPr>
              <w:t>Down ~5–9%</w:t>
            </w:r>
          </w:p>
        </w:tc>
        <w:tc>
          <w:tcPr>
            <w:tcW w:type="dxa" w:w="1728"/>
          </w:tcPr>
          <w:p>
            <w:r>
              <w:rPr>
                <w:rFonts w:ascii="Calibri" w:hAnsi="Calibri"/>
                <w:sz w:val="22"/>
              </w:rPr>
              <w:t>N/A</w:t>
            </w:r>
          </w:p>
        </w:tc>
        <w:tc>
          <w:tcPr>
            <w:tcW w:type="dxa" w:w="1728"/>
          </w:tcPr>
          <w:p>
            <w:r>
              <w:rPr>
                <w:rFonts w:ascii="Calibri" w:hAnsi="Calibri"/>
                <w:sz w:val="22"/>
              </w:rPr>
              <w:t>↓ Lowered July 14; pool segment income impact ~$155M full year</w:t>
            </w:r>
          </w:p>
        </w:tc>
      </w:tr>
      <w:tr>
        <w:tc>
          <w:tcPr>
            <w:tcW w:type="dxa" w:w="1728"/>
          </w:tcPr>
          <w:p>
            <w:r>
              <w:rPr>
                <w:rFonts w:ascii="Calibri" w:hAnsi="Calibri"/>
                <w:sz w:val="22"/>
              </w:rPr>
              <w:t>FY2026 EBITDA</w:t>
            </w:r>
          </w:p>
        </w:tc>
        <w:tc>
          <w:tcPr>
            <w:tcW w:type="dxa" w:w="1728"/>
          </w:tcPr>
          <w:p>
            <w:r>
              <w:rPr>
                <w:rFonts w:ascii="Calibri" w:hAnsi="Calibri"/>
                <w:sz w:val="22"/>
              </w:rPr>
              <w:t>Not separately guided</w:t>
            </w:r>
          </w:p>
        </w:tc>
        <w:tc>
          <w:tcPr>
            <w:tcW w:type="dxa" w:w="1728"/>
          </w:tcPr>
          <w:p>
            <w:r>
              <w:rPr>
                <w:rFonts w:ascii="Calibri" w:hAnsi="Calibri"/>
                <w:b/>
                <w:color w:val="E5484D"/>
                <w:sz w:val="22"/>
              </w:rPr>
              <w:t>~$1,050M</w:t>
            </w:r>
          </w:p>
        </w:tc>
        <w:tc>
          <w:tcPr>
            <w:tcW w:type="dxa" w:w="1728"/>
          </w:tcPr>
          <w:p>
            <w:r>
              <w:rPr>
                <w:rFonts w:ascii="Calibri" w:hAnsi="Calibri"/>
                <w:sz w:val="22"/>
              </w:rPr>
              <w:t>N/A</w:t>
            </w:r>
          </w:p>
        </w:tc>
        <w:tc>
          <w:tcPr>
            <w:tcW w:type="dxa" w:w="1728"/>
          </w:tcPr>
          <w:p>
            <w:r>
              <w:rPr>
                <w:rFonts w:ascii="Calibri" w:hAnsi="Calibri"/>
                <w:sz w:val="22"/>
              </w:rPr>
              <w:t>↓ New disclosure in July 14 preannouncement</w:t>
            </w:r>
          </w:p>
        </w:tc>
      </w:tr>
      <w:tr>
        <w:tc>
          <w:tcPr>
            <w:tcW w:type="dxa" w:w="1728"/>
          </w:tcPr>
          <w:p>
            <w:r>
              <w:rPr>
                <w:rFonts w:ascii="Calibri" w:hAnsi="Calibri"/>
                <w:sz w:val="22"/>
              </w:rPr>
              <w:t>FY2026 Adj. ROS</w:t>
            </w:r>
          </w:p>
        </w:tc>
        <w:tc>
          <w:tcPr>
            <w:tcW w:type="dxa" w:w="1728"/>
          </w:tcPr>
          <w:p>
            <w:r>
              <w:rPr>
                <w:rFonts w:ascii="Calibri" w:hAnsi="Calibri"/>
                <w:sz w:val="22"/>
              </w:rPr>
              <w:t>~26% (+100 bps)</w:t>
            </w:r>
          </w:p>
        </w:tc>
        <w:tc>
          <w:tcPr>
            <w:tcW w:type="dxa" w:w="1728"/>
          </w:tcPr>
          <w:p>
            <w:r>
              <w:rPr>
                <w:rFonts w:ascii="Calibri" w:hAnsi="Calibri"/>
                <w:b/>
                <w:color w:val="E5484D"/>
                <w:sz w:val="22"/>
              </w:rPr>
              <w:t>~25.1% (implied)</w:t>
            </w:r>
          </w:p>
        </w:tc>
        <w:tc>
          <w:tcPr>
            <w:tcW w:type="dxa" w:w="1728"/>
          </w:tcPr>
          <w:p>
            <w:r>
              <w:rPr>
                <w:rFonts w:ascii="Calibri" w:hAnsi="Calibri"/>
                <w:sz w:val="22"/>
              </w:rPr>
              <w:t>~25.1%</w:t>
            </w:r>
          </w:p>
        </w:tc>
        <w:tc>
          <w:tcPr>
            <w:tcW w:type="dxa" w:w="1728"/>
          </w:tcPr>
          <w:p>
            <w:r>
              <w:rPr>
                <w:rFonts w:ascii="Calibri" w:hAnsi="Calibri"/>
                <w:sz w:val="22"/>
              </w:rPr>
              <w:t>↓ Margin expansion target at risk; pool volume loss dilutes fixed cost absorption</w:t>
            </w:r>
          </w:p>
        </w:tc>
      </w:tr>
      <w:tr>
        <w:tc>
          <w:tcPr>
            <w:tcW w:type="dxa" w:w="1728"/>
          </w:tcPr>
          <w:p>
            <w:r>
              <w:rPr>
                <w:rFonts w:ascii="Calibri" w:hAnsi="Calibri"/>
                <w:sz w:val="22"/>
              </w:rPr>
              <w:t>Pool Segment Sales</w:t>
            </w:r>
          </w:p>
        </w:tc>
        <w:tc>
          <w:tcPr>
            <w:tcW w:type="dxa" w:w="1728"/>
          </w:tcPr>
          <w:p>
            <w:r>
              <w:rPr>
                <w:rFonts w:ascii="Calibri" w:hAnsi="Calibri"/>
                <w:sz w:val="22"/>
              </w:rPr>
              <w:t>Up ~1–3% FY2026</w:t>
            </w:r>
          </w:p>
        </w:tc>
        <w:tc>
          <w:tcPr>
            <w:tcW w:type="dxa" w:w="1728"/>
          </w:tcPr>
          <w:p>
            <w:r>
              <w:rPr>
                <w:rFonts w:ascii="Calibri" w:hAnsi="Calibri"/>
                <w:b/>
                <w:color w:val="E5484D"/>
                <w:sz w:val="22"/>
              </w:rPr>
              <w:t>Down ~$250M vs. prior plan</w:t>
            </w:r>
          </w:p>
        </w:tc>
        <w:tc>
          <w:tcPr>
            <w:tcW w:type="dxa" w:w="1728"/>
          </w:tcPr>
          <w:p>
            <w:r>
              <w:rPr>
                <w:rFonts w:ascii="Calibri" w:hAnsi="Calibri"/>
                <w:sz w:val="22"/>
              </w:rPr>
              <w:t>$1,346.3M (FY)</w:t>
            </w:r>
          </w:p>
        </w:tc>
        <w:tc>
          <w:tcPr>
            <w:tcW w:type="dxa" w:w="1728"/>
          </w:tcPr>
          <w:p>
            <w:r>
              <w:rPr>
                <w:rFonts w:ascii="Calibri" w:hAnsi="Calibri"/>
                <w:sz w:val="22"/>
              </w:rPr>
              <w:t>↓ Channel destocking; right-sizing for 2027 pool season</w:t>
            </w:r>
          </w:p>
        </w:tc>
      </w:tr>
      <w:tr>
        <w:tc>
          <w:tcPr>
            <w:tcW w:type="dxa" w:w="1728"/>
          </w:tcPr>
          <w:p>
            <w:r>
              <w:rPr>
                <w:rFonts w:ascii="Calibri" w:hAnsi="Calibri"/>
                <w:sz w:val="22"/>
              </w:rPr>
              <w:t>Flow &amp; Water Solutions</w:t>
            </w:r>
          </w:p>
        </w:tc>
        <w:tc>
          <w:tcPr>
            <w:tcW w:type="dxa" w:w="1728"/>
          </w:tcPr>
          <w:p>
            <w:r>
              <w:rPr>
                <w:rFonts w:ascii="Calibri" w:hAnsi="Calibri"/>
                <w:sz w:val="22"/>
              </w:rPr>
              <w:t>Flow: +mid-to-high SD; WS: ~flat</w:t>
            </w:r>
          </w:p>
        </w:tc>
        <w:tc>
          <w:tcPr>
            <w:tcW w:type="dxa" w:w="1728"/>
          </w:tcPr>
          <w:p>
            <w:r>
              <w:rPr>
                <w:rFonts w:ascii="Calibri" w:hAnsi="Calibri"/>
                <w:b/>
                <w:color w:val="30A46C"/>
                <w:sz w:val="22"/>
              </w:rPr>
              <w:t>Roughly in-line with prior guide</w:t>
            </w:r>
          </w:p>
        </w:tc>
        <w:tc>
          <w:tcPr>
            <w:tcW w:type="dxa" w:w="1728"/>
          </w:tcPr>
          <w:p>
            <w:r>
              <w:rPr>
                <w:rFonts w:ascii="Calibri" w:hAnsi="Calibri"/>
                <w:sz w:val="22"/>
              </w:rPr>
              <w:t>Flow: $266.5M Q2; WS: $423.3M Q2</w:t>
            </w:r>
          </w:p>
        </w:tc>
        <w:tc>
          <w:tcPr>
            <w:tcW w:type="dxa" w:w="1728"/>
          </w:tcPr>
          <w:p>
            <w:r>
              <w:rPr>
                <w:rFonts w:ascii="Calibri" w:hAnsi="Calibri"/>
                <w:sz w:val="22"/>
              </w:rPr>
              <w:t>= Unchanged; only positive in the preannouncement</w:t>
            </w:r>
          </w:p>
        </w:tc>
      </w:tr>
    </w:tbl>
    <w:p>
      <w:r>
        <w:rPr>
          <w:rFonts w:ascii="Calibri" w:hAnsi="Calibri"/>
          <w:i/>
          <w:color w:val="525866"/>
          <w:sz w:val="22"/>
        </w:rPr>
        <w:t xml:space="preserve">Sources: </w:t>
      </w:r>
      <w:r>
        <w:rPr>
          <w:rFonts w:ascii="Calibri" w:hAnsi="Calibri"/>
          <w:i/>
          <w:color w:val="525866"/>
          <w:sz w:val="22"/>
        </w:rPr>
        <w:t>PNR Q1 2026 Earnings Call Transcript (Apr. 28, 2026); PNR July 14, 2026 Preliminary Q2 Earnings Release / 8-K EX-99.1;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collapsed post-preannouncement — Q2 EPS consensus fell from $1.48 (post-Q1 baseline) to $1.21, and FY2026 EPS from $5.36 to $4.84. </w:t>
      </w:r>
      <w:r>
        <w:rPr>
          <w:rFonts w:ascii="Calibri" w:hAnsi="Calibri"/>
          <w:b/>
          <w:color w:val="525866"/>
          <w:sz w:val="22"/>
        </w:rPr>
        <w:t>Consensus is now tracking above the revised guidance midpoint on EPS, suggesting the street is not fully pricing in the low end of the range</w:t>
      </w:r>
      <w:r>
        <w:rPr>
          <w:rFonts w:ascii="Calibri" w:hAnsi="Calibri"/>
          <w:color w:val="525866"/>
          <w:sz w:val="22"/>
        </w:rPr>
        <w:t>, which creates downside risk if management's tone on the call is more cautious than the revised guide implies.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 Revised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Adj. EPS — Q2 2026</w:t>
            </w:r>
          </w:p>
        </w:tc>
        <w:tc>
          <w:tcPr>
            <w:tcW w:type="dxa" w:w="1080"/>
          </w:tcPr>
          <w:p>
            <w:r>
              <w:rPr>
                <w:rFonts w:ascii="Calibri" w:hAnsi="Calibri"/>
                <w:sz w:val="22"/>
              </w:rPr>
              <w:t>$1.48</w:t>
            </w:r>
          </w:p>
        </w:tc>
        <w:tc>
          <w:tcPr>
            <w:tcW w:type="dxa" w:w="1080"/>
          </w:tcPr>
          <w:p>
            <w:r>
              <w:rPr>
                <w:rFonts w:ascii="Calibri" w:hAnsi="Calibri"/>
                <w:sz w:val="22"/>
              </w:rPr>
              <w:t>$1.21</w:t>
            </w:r>
          </w:p>
        </w:tc>
        <w:tc>
          <w:tcPr>
            <w:tcW w:type="dxa" w:w="1080"/>
          </w:tcPr>
          <w:p>
            <w:r>
              <w:rPr>
                <w:rFonts w:ascii="Calibri" w:hAnsi="Calibri"/>
                <w:b/>
                <w:color w:val="E5484D"/>
                <w:sz w:val="22"/>
              </w:rPr>
              <w:t>-18.2%</w:t>
            </w:r>
          </w:p>
        </w:tc>
        <w:tc>
          <w:tcPr>
            <w:tcW w:type="dxa" w:w="1080"/>
          </w:tcPr>
          <w:p>
            <w:r>
              <w:rPr>
                <w:rFonts w:ascii="Calibri" w:hAnsi="Calibri"/>
                <w:sz w:val="22"/>
              </w:rPr>
              <w:t>$1.47–$1.50</w:t>
            </w:r>
          </w:p>
        </w:tc>
        <w:tc>
          <w:tcPr>
            <w:tcW w:type="dxa" w:w="1080"/>
          </w:tcPr>
          <w:p>
            <w:r>
              <w:rPr>
                <w:rFonts w:ascii="Calibri" w:hAnsi="Calibri"/>
                <w:sz w:val="22"/>
              </w:rPr>
              <w:t>~$1.12 (prelim.)</w:t>
            </w:r>
          </w:p>
        </w:tc>
        <w:tc>
          <w:tcPr>
            <w:tcW w:type="dxa" w:w="1080"/>
          </w:tcPr>
          <w:p>
            <w:r>
              <w:rPr>
                <w:rFonts w:ascii="Calibri" w:hAnsi="Calibri"/>
                <w:b/>
                <w:color w:val="E5484D"/>
                <w:sz w:val="22"/>
              </w:rPr>
              <w:t>-24.8%</w:t>
            </w:r>
          </w:p>
        </w:tc>
        <w:tc>
          <w:tcPr>
            <w:tcW w:type="dxa" w:w="1080"/>
          </w:tcPr>
          <w:p>
            <w:r>
              <w:rPr>
                <w:rFonts w:ascii="Calibri" w:hAnsi="Calibri"/>
                <w:sz w:val="22"/>
              </w:rPr>
              <w:t>+8.0% above prelim.</w:t>
            </w:r>
          </w:p>
        </w:tc>
      </w:tr>
      <w:tr>
        <w:tc>
          <w:tcPr>
            <w:tcW w:type="dxa" w:w="1080"/>
          </w:tcPr>
          <w:p>
            <w:r>
              <w:rPr>
                <w:rFonts w:ascii="Calibri" w:hAnsi="Calibri"/>
                <w:sz w:val="22"/>
              </w:rPr>
              <w:t>Net Sales — Q2 2026</w:t>
            </w:r>
          </w:p>
        </w:tc>
        <w:tc>
          <w:tcPr>
            <w:tcW w:type="dxa" w:w="1080"/>
          </w:tcPr>
          <w:p>
            <w:r>
              <w:rPr>
                <w:rFonts w:ascii="Calibri" w:hAnsi="Calibri"/>
                <w:sz w:val="22"/>
              </w:rPr>
              <w:t>$1,137.6M</w:t>
            </w:r>
          </w:p>
        </w:tc>
        <w:tc>
          <w:tcPr>
            <w:tcW w:type="dxa" w:w="1080"/>
          </w:tcPr>
          <w:p>
            <w:r>
              <w:rPr>
                <w:rFonts w:ascii="Calibri" w:hAnsi="Calibri"/>
                <w:sz w:val="22"/>
              </w:rPr>
              <w:t>$978.5M</w:t>
            </w:r>
          </w:p>
        </w:tc>
        <w:tc>
          <w:tcPr>
            <w:tcW w:type="dxa" w:w="1080"/>
          </w:tcPr>
          <w:p>
            <w:r>
              <w:rPr>
                <w:rFonts w:ascii="Calibri" w:hAnsi="Calibri"/>
                <w:b/>
                <w:color w:val="E5484D"/>
                <w:sz w:val="22"/>
              </w:rPr>
              <w:t>-14.0%</w:t>
            </w:r>
          </w:p>
        </w:tc>
        <w:tc>
          <w:tcPr>
            <w:tcW w:type="dxa" w:w="1080"/>
          </w:tcPr>
          <w:p>
            <w:r>
              <w:rPr>
                <w:rFonts w:ascii="Calibri" w:hAnsi="Calibri"/>
                <w:sz w:val="22"/>
              </w:rPr>
              <w:t>Up ~1% YoY (~$1,136M)</w:t>
            </w:r>
          </w:p>
        </w:tc>
        <w:tc>
          <w:tcPr>
            <w:tcW w:type="dxa" w:w="1080"/>
          </w:tcPr>
          <w:p>
            <w:r>
              <w:rPr>
                <w:rFonts w:ascii="Calibri" w:hAnsi="Calibri"/>
                <w:sz w:val="22"/>
              </w:rPr>
              <w:t>~$930M (prelim.)</w:t>
            </w:r>
          </w:p>
        </w:tc>
        <w:tc>
          <w:tcPr>
            <w:tcW w:type="dxa" w:w="1080"/>
          </w:tcPr>
          <w:p>
            <w:r>
              <w:rPr>
                <w:rFonts w:ascii="Calibri" w:hAnsi="Calibri"/>
                <w:b/>
                <w:color w:val="E5484D"/>
                <w:sz w:val="22"/>
              </w:rPr>
              <w:t>-18.1%</w:t>
            </w:r>
          </w:p>
        </w:tc>
        <w:tc>
          <w:tcPr>
            <w:tcW w:type="dxa" w:w="1080"/>
          </w:tcPr>
          <w:p>
            <w:r>
              <w:rPr>
                <w:rFonts w:ascii="Calibri" w:hAnsi="Calibri"/>
                <w:sz w:val="22"/>
              </w:rPr>
              <w:t>+5.2% above prelim.</w:t>
            </w:r>
          </w:p>
        </w:tc>
      </w:tr>
      <w:tr>
        <w:tc>
          <w:tcPr>
            <w:tcW w:type="dxa" w:w="1080"/>
          </w:tcPr>
          <w:p>
            <w:r>
              <w:rPr>
                <w:rFonts w:ascii="Calibri" w:hAnsi="Calibri"/>
                <w:sz w:val="22"/>
              </w:rPr>
              <w:t>Adj. EPS — FY2026</w:t>
            </w:r>
          </w:p>
        </w:tc>
        <w:tc>
          <w:tcPr>
            <w:tcW w:type="dxa" w:w="1080"/>
          </w:tcPr>
          <w:p>
            <w:r>
              <w:rPr>
                <w:rFonts w:ascii="Calibri" w:hAnsi="Calibri"/>
                <w:sz w:val="22"/>
              </w:rPr>
              <w:t>$5.36</w:t>
            </w:r>
          </w:p>
        </w:tc>
        <w:tc>
          <w:tcPr>
            <w:tcW w:type="dxa" w:w="1080"/>
          </w:tcPr>
          <w:p>
            <w:r>
              <w:rPr>
                <w:rFonts w:ascii="Calibri" w:hAnsi="Calibri"/>
                <w:sz w:val="22"/>
              </w:rPr>
              <w:t>$4.84</w:t>
            </w:r>
          </w:p>
        </w:tc>
        <w:tc>
          <w:tcPr>
            <w:tcW w:type="dxa" w:w="1080"/>
          </w:tcPr>
          <w:p>
            <w:r>
              <w:rPr>
                <w:rFonts w:ascii="Calibri" w:hAnsi="Calibri"/>
                <w:b/>
                <w:color w:val="E5484D"/>
                <w:sz w:val="22"/>
              </w:rPr>
              <w:t>-9.7%</w:t>
            </w:r>
          </w:p>
        </w:tc>
        <w:tc>
          <w:tcPr>
            <w:tcW w:type="dxa" w:w="1080"/>
          </w:tcPr>
          <w:p>
            <w:r>
              <w:rPr>
                <w:rFonts w:ascii="Calibri" w:hAnsi="Calibri"/>
                <w:sz w:val="22"/>
              </w:rPr>
              <w:t>$5.30–$5.40</w:t>
            </w:r>
          </w:p>
        </w:tc>
        <w:tc>
          <w:tcPr>
            <w:tcW w:type="dxa" w:w="1080"/>
          </w:tcPr>
          <w:p>
            <w:r>
              <w:rPr>
                <w:rFonts w:ascii="Calibri" w:hAnsi="Calibri"/>
                <w:sz w:val="22"/>
              </w:rPr>
              <w:t>$4.60–$4.80</w:t>
            </w:r>
          </w:p>
        </w:tc>
        <w:tc>
          <w:tcPr>
            <w:tcW w:type="dxa" w:w="1080"/>
          </w:tcPr>
          <w:p>
            <w:r>
              <w:rPr>
                <w:rFonts w:ascii="Calibri" w:hAnsi="Calibri"/>
                <w:b/>
                <w:color w:val="E5484D"/>
                <w:sz w:val="22"/>
              </w:rPr>
              <w:t>-13.2%</w:t>
            </w:r>
          </w:p>
        </w:tc>
        <w:tc>
          <w:tcPr>
            <w:tcW w:type="dxa" w:w="1080"/>
          </w:tcPr>
          <w:p>
            <w:r>
              <w:rPr>
                <w:rFonts w:ascii="Calibri" w:hAnsi="Calibri"/>
                <w:sz w:val="22"/>
              </w:rPr>
              <w:t>+4.1% above midpoint ($4.70)</w:t>
            </w:r>
          </w:p>
        </w:tc>
      </w:tr>
      <w:tr>
        <w:tc>
          <w:tcPr>
            <w:tcW w:type="dxa" w:w="1080"/>
          </w:tcPr>
          <w:p>
            <w:r>
              <w:rPr>
                <w:rFonts w:ascii="Calibri" w:hAnsi="Calibri"/>
                <w:sz w:val="22"/>
              </w:rPr>
              <w:t>Net Sales — FY2026</w:t>
            </w:r>
          </w:p>
        </w:tc>
        <w:tc>
          <w:tcPr>
            <w:tcW w:type="dxa" w:w="1080"/>
          </w:tcPr>
          <w:p>
            <w:r>
              <w:rPr>
                <w:rFonts w:ascii="Calibri" w:hAnsi="Calibri"/>
                <w:sz w:val="22"/>
              </w:rPr>
              <w:t>$4,283.4M</w:t>
            </w:r>
          </w:p>
        </w:tc>
        <w:tc>
          <w:tcPr>
            <w:tcW w:type="dxa" w:w="1080"/>
          </w:tcPr>
          <w:p>
            <w:r>
              <w:rPr>
                <w:rFonts w:ascii="Calibri" w:hAnsi="Calibri"/>
                <w:sz w:val="22"/>
              </w:rPr>
              <w:t>$4,016.7M</w:t>
            </w:r>
          </w:p>
        </w:tc>
        <w:tc>
          <w:tcPr>
            <w:tcW w:type="dxa" w:w="1080"/>
          </w:tcPr>
          <w:p>
            <w:r>
              <w:rPr>
                <w:rFonts w:ascii="Calibri" w:hAnsi="Calibri"/>
                <w:b/>
                <w:color w:val="E5484D"/>
                <w:sz w:val="22"/>
              </w:rPr>
              <w:t>-6.2%</w:t>
            </w:r>
          </w:p>
        </w:tc>
        <w:tc>
          <w:tcPr>
            <w:tcW w:type="dxa" w:w="1080"/>
          </w:tcPr>
          <w:p>
            <w:r>
              <w:rPr>
                <w:rFonts w:ascii="Calibri" w:hAnsi="Calibri"/>
                <w:sz w:val="22"/>
              </w:rPr>
              <w:t>Up ~2–4%</w:t>
            </w:r>
          </w:p>
        </w:tc>
        <w:tc>
          <w:tcPr>
            <w:tcW w:type="dxa" w:w="1080"/>
          </w:tcPr>
          <w:p>
            <w:r>
              <w:rPr>
                <w:rFonts w:ascii="Calibri" w:hAnsi="Calibri"/>
                <w:sz w:val="22"/>
              </w:rPr>
              <w:t>Down ~4–7%</w:t>
            </w:r>
          </w:p>
        </w:tc>
        <w:tc>
          <w:tcPr>
            <w:tcW w:type="dxa" w:w="1080"/>
          </w:tcPr>
          <w:p>
            <w:r>
              <w:rPr>
                <w:rFonts w:ascii="Calibri" w:hAnsi="Calibri"/>
                <w:b/>
                <w:color w:val="E5484D"/>
                <w:sz w:val="22"/>
              </w:rPr>
              <w:t>-~10pp swing</w:t>
            </w:r>
          </w:p>
        </w:tc>
        <w:tc>
          <w:tcPr>
            <w:tcW w:type="dxa" w:w="1080"/>
          </w:tcPr>
          <w:p>
            <w:r>
              <w:rPr>
                <w:rFonts w:ascii="Calibri" w:hAnsi="Calibri"/>
                <w:sz w:val="22"/>
              </w:rPr>
              <w:t>~+2% above midpoint of revised range</w:t>
            </w:r>
          </w:p>
        </w:tc>
      </w:tr>
      <w:tr>
        <w:tc>
          <w:tcPr>
            <w:tcW w:type="dxa" w:w="1080"/>
          </w:tcPr>
          <w:p>
            <w:r>
              <w:rPr>
                <w:rFonts w:ascii="Calibri" w:hAnsi="Calibri"/>
                <w:sz w:val="22"/>
              </w:rPr>
              <w:t>Adj. EPS — FY2027</w:t>
            </w:r>
          </w:p>
        </w:tc>
        <w:tc>
          <w:tcPr>
            <w:tcW w:type="dxa" w:w="1080"/>
          </w:tcPr>
          <w:p>
            <w:r>
              <w:rPr>
                <w:rFonts w:ascii="Calibri" w:hAnsi="Calibri"/>
                <w:sz w:val="22"/>
              </w:rPr>
              <w:t>$5.84</w:t>
            </w:r>
          </w:p>
        </w:tc>
        <w:tc>
          <w:tcPr>
            <w:tcW w:type="dxa" w:w="1080"/>
          </w:tcPr>
          <w:p>
            <w:r>
              <w:rPr>
                <w:rFonts w:ascii="Calibri" w:hAnsi="Calibri"/>
                <w:sz w:val="22"/>
              </w:rPr>
              <w:t>$5.31</w:t>
            </w:r>
          </w:p>
        </w:tc>
        <w:tc>
          <w:tcPr>
            <w:tcW w:type="dxa" w:w="1080"/>
          </w:tcPr>
          <w:p>
            <w:r>
              <w:rPr>
                <w:rFonts w:ascii="Calibri" w:hAnsi="Calibri"/>
                <w:b/>
                <w:color w:val="E5484D"/>
                <w:sz w:val="22"/>
              </w:rPr>
              <w:t>-9.1%</w:t>
            </w:r>
          </w:p>
        </w:tc>
        <w:tc>
          <w:tcPr>
            <w:tcW w:type="dxa" w:w="1080"/>
          </w:tcPr>
          <w:p>
            <w:r>
              <w:rPr>
                <w:rFonts w:ascii="Calibri" w:hAnsi="Calibri"/>
                <w:sz w:val="22"/>
              </w:rPr>
              <w:t>N/A (not guided)</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 FY2027</w:t>
            </w:r>
          </w:p>
        </w:tc>
        <w:tc>
          <w:tcPr>
            <w:tcW w:type="dxa" w:w="1080"/>
          </w:tcPr>
          <w:p>
            <w:r>
              <w:rPr>
                <w:rFonts w:ascii="Calibri" w:hAnsi="Calibri"/>
                <w:sz w:val="22"/>
              </w:rPr>
              <w:t>$4,475.4M</w:t>
            </w:r>
          </w:p>
        </w:tc>
        <w:tc>
          <w:tcPr>
            <w:tcW w:type="dxa" w:w="1080"/>
          </w:tcPr>
          <w:p>
            <w:r>
              <w:rPr>
                <w:rFonts w:ascii="Calibri" w:hAnsi="Calibri"/>
                <w:sz w:val="22"/>
              </w:rPr>
              <w:t>$4,216.2M</w:t>
            </w:r>
          </w:p>
        </w:tc>
        <w:tc>
          <w:tcPr>
            <w:tcW w:type="dxa" w:w="1080"/>
          </w:tcPr>
          <w:p>
            <w:r>
              <w:rPr>
                <w:rFonts w:ascii="Calibri" w:hAnsi="Calibri"/>
                <w:b/>
                <w:color w:val="E5484D"/>
                <w:sz w:val="22"/>
              </w:rPr>
              <w:t>-5.8%</w:t>
            </w:r>
          </w:p>
        </w:tc>
        <w:tc>
          <w:tcPr>
            <w:tcW w:type="dxa" w:w="1080"/>
          </w:tcPr>
          <w:p>
            <w:r>
              <w:rPr>
                <w:rFonts w:ascii="Calibri" w:hAnsi="Calibri"/>
                <w:sz w:val="22"/>
              </w:rPr>
              <w:t>N/A (not guided)</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 xml:space="preserve">The estimate revision trajectory tells a stark story: consensus was tracking well above guidance through Q1 earnings (May 5 baseline), then collapsed sharply post-preannouncement. Notably, current consensus for both Q2 and FY2026 sits </w:t>
      </w:r>
      <w:r>
        <w:rPr>
          <w:rFonts w:ascii="Calibri" w:hAnsi="Calibri"/>
          <w:b/>
          <w:i/>
          <w:color w:val="525866"/>
          <w:sz w:val="22"/>
        </w:rPr>
        <w:t>above</w:t>
      </w:r>
      <w:r>
        <w:rPr>
          <w:rFonts w:ascii="Calibri" w:hAnsi="Calibri"/>
          <w:i/>
          <w:color w:val="525866"/>
          <w:sz w:val="22"/>
        </w:rPr>
        <w:t xml:space="preserve"> the revised guidance midpoint, implying the street is not fully pricing in the low end of the range. FY2027 estimates have also been cut ~9% as the market reassesses the pace of pool recovery. The key question on the call is whether management can provide enough channel inventory data to anchor the 2027 recovery thesis.</w:t>
      </w:r>
    </w:p>
    <w:p>
      <w:r>
        <w:rPr>
          <w:rFonts w:ascii="Calibri" w:hAnsi="Calibri"/>
          <w:i/>
          <w:color w:val="525866"/>
          <w:sz w:val="22"/>
        </w:rPr>
        <w:t xml:space="preserve">Sources: </w:t>
      </w:r>
      <w:r>
        <w:rPr>
          <w:rFonts w:ascii="Calibri" w:hAnsi="Calibri"/>
          <w:i/>
          <w:color w:val="525866"/>
          <w:sz w:val="22"/>
        </w:rPr>
        <w:t>Visible Alpha Consensus and Actuals Data (as-of dates: May 5, 2026 and latest); PNR July 14, 2026 Preliminary Q2 Earnings Release.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PNR has fallen ~24% since Q1 earnings (Apr. 28) vs. XLI +7% and S&amp;P 500 +4% — the underperformance is almost entirely </w:t>
      </w:r>
      <w:r>
        <w:rPr>
          <w:rFonts w:ascii="Calibri" w:hAnsi="Calibri"/>
          <w:b/>
          <w:color w:val="525866"/>
          <w:sz w:val="22"/>
        </w:rPr>
        <w:t>multiple compression driven</w:t>
      </w:r>
      <w:r>
        <w:rPr>
          <w:rFonts w:ascii="Calibri" w:hAnsi="Calibri"/>
          <w:color w:val="525866"/>
          <w:sz w:val="22"/>
        </w:rPr>
        <w:t xml:space="preserve"> (NTM EV/EBITDA collapsed from ~15.8x to ~10.5x), with the July 14 preannouncement accounting for the bulk of the damage in a single session (-16%).</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PNR vs. XLI (Industrials ETF) vs. S&amp;P 500 — Indexed to 100 at Q1 2026 Earnings (Apr. 28, 2026). Source: Yahoo Finance / Stock Price Data.</w:t>
      </w:r>
    </w:p>
    <w:p>
      <w:pPr>
        <w:pStyle w:val="ListBullet"/>
        <w:ind w:left="360" w:hanging="360"/>
      </w:pPr>
      <w:r>
        <w:rPr>
          <w:rFonts w:ascii="Calibri" w:hAnsi="Calibri"/>
          <w:b/>
          <w:color w:val="525866"/>
          <w:sz w:val="22"/>
        </w:rPr>
        <w:t xml:space="preserve">Apr. 28, 2026 (Q1 Earnings): </w:t>
      </w:r>
      <w:r>
        <w:rPr>
          <w:rFonts w:ascii="Calibri" w:hAnsi="Calibri"/>
          <w:color w:val="525866"/>
          <w:sz w:val="22"/>
        </w:rPr>
        <w:t>Stock opened near prior close; muted reaction to a solid beat. PNR indexed at 100.</w:t>
      </w:r>
    </w:p>
    <w:p>
      <w:pPr>
        <w:pStyle w:val="ListBullet"/>
        <w:ind w:left="360" w:hanging="360"/>
      </w:pPr>
      <w:r>
        <w:rPr>
          <w:rFonts w:ascii="Calibri" w:hAnsi="Calibri"/>
          <w:b/>
          <w:color w:val="525866"/>
          <w:sz w:val="22"/>
        </w:rPr>
        <w:t xml:space="preserve">Apr. 28 – July 13 (Pre-Preannouncement Drift): </w:t>
      </w:r>
      <w:r>
        <w:rPr>
          <w:rFonts w:ascii="Calibri" w:hAnsi="Calibri"/>
          <w:color w:val="525866"/>
          <w:sz w:val="22"/>
        </w:rPr>
        <w:t>PNR drifted lower by ~9% as pool sell-in concerns and macro headwinds weighed, while XLI was roughly flat and SPY gained ~6%. Underperformance was gradual and sentiment-driven.</w:t>
      </w:r>
    </w:p>
    <w:p>
      <w:pPr>
        <w:pStyle w:val="ListBullet"/>
        <w:ind w:left="360" w:hanging="360"/>
      </w:pPr>
      <w:r>
        <w:rPr>
          <w:rFonts w:ascii="Calibri" w:hAnsi="Calibri"/>
          <w:b/>
          <w:color w:val="525866"/>
          <w:sz w:val="22"/>
        </w:rPr>
        <w:t xml:space="preserve">July 14–15, 2026 (Preannouncement): </w:t>
      </w:r>
      <w:r>
        <w:rPr>
          <w:rFonts w:ascii="Calibri" w:hAnsi="Calibri"/>
          <w:color w:val="525866"/>
          <w:sz w:val="22"/>
        </w:rPr>
        <w:t>PNR fell ~16% in a single session on the negative preannouncement and CFO departure. XLI and SPY were essentially flat on the day, confirming this was a company-specific event.</w:t>
      </w:r>
    </w:p>
    <w:p>
      <w:pPr>
        <w:pStyle w:val="ListBullet"/>
        <w:ind w:left="360" w:hanging="360"/>
      </w:pPr>
      <w:r>
        <w:rPr>
          <w:rFonts w:ascii="Calibri" w:hAnsi="Calibri"/>
          <w:b/>
          <w:color w:val="525866"/>
          <w:sz w:val="22"/>
        </w:rPr>
        <w:t xml:space="preserve">July 15–28 (Post-Preannouncement Stabilization): </w:t>
      </w:r>
      <w:r>
        <w:rPr>
          <w:rFonts w:ascii="Calibri" w:hAnsi="Calibri"/>
          <w:color w:val="525866"/>
          <w:sz w:val="22"/>
        </w:rPr>
        <w:t>PNR has stabilized near $62–$63, down ~24% from Q1 earnings date. The stock appears to be in a holding pattern ahead of the call, with investors waiting for management's narrative on inventory normalization and 2027 recovery.</w:t>
      </w:r>
    </w:p>
    <w:p>
      <w:r>
        <w:rPr>
          <w:rFonts w:ascii="Calibri" w:hAnsi="Calibri"/>
          <w:b/>
          <w:color w:val="525866"/>
          <w:sz w:val="22"/>
        </w:rPr>
        <w:t xml:space="preserve">Valuation context: </w:t>
      </w:r>
      <w:r>
        <w:rPr>
          <w:rFonts w:ascii="Calibri" w:hAnsi="Calibri"/>
          <w:color w:val="525866"/>
          <w:sz w:val="22"/>
        </w:rPr>
        <w:t>NTM EV/EBITDA has compressed from ~15.8x (at Q1 earnings) to ~10.5x today — a ~34% multiple de-rating. At 10.5x, PNR is trading near trough multiples, which could represent value IF management can credibly frame the pool destocking as a 2026-only event. However, the CFO departure and the magnitude of the guidance miss create a credibility discount that may keep the multiple suppressed until there is evidence of channel normalization.</w:t>
      </w:r>
      <w:r>
        <w:rPr>
          <w:rFonts w:ascii="Calibri" w:hAnsi="Calibri"/>
          <w:i/>
          <w:color w:val="525866"/>
          <w:sz w:val="22"/>
        </w:rPr>
        <w:t xml:space="preserve"> Source: Stock Price Data (Yahoo Finance); NTM multiple data from Implied platform.</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July 14 preannouncement and simultaneous CFO departure are the dominant developments — together they represent a </w:t>
      </w:r>
      <w:r>
        <w:rPr>
          <w:rFonts w:ascii="Calibri" w:hAnsi="Calibri"/>
          <w:b/>
          <w:color w:val="525866"/>
          <w:sz w:val="22"/>
        </w:rPr>
        <w:t>dual credibility shock</w:t>
      </w:r>
      <w:r>
        <w:rPr>
          <w:rFonts w:ascii="Calibri" w:hAnsi="Calibri"/>
          <w:color w:val="525866"/>
          <w:sz w:val="22"/>
        </w:rPr>
        <w:t xml:space="preserve"> that management must address head-on on the call. The IEEPA tariff refund is a meaningful but one-time tailwind that partially offsets the pool damage.</w:t>
      </w:r>
    </w:p>
    <w:p>
      <w:pPr>
        <w:pStyle w:val="ListBullet"/>
        <w:ind w:left="360" w:hanging="360"/>
      </w:pPr>
      <w:r>
        <w:rPr>
          <w:rFonts w:ascii="Calibri" w:hAnsi="Calibri"/>
          <w:b/>
          <w:color w:val="525866"/>
          <w:sz w:val="22"/>
        </w:rPr>
        <w:t xml:space="preserve">July 14, 2026 — Negative Preannouncement &amp; Guidance Cut (CRITICAL): </w:t>
      </w:r>
      <w:r>
        <w:rPr>
          <w:rFonts w:ascii="Calibri" w:hAnsi="Calibri"/>
          <w:color w:val="525866"/>
          <w:sz w:val="22"/>
        </w:rPr>
        <w:t xml:space="preserve">PNR issued preliminary Q2 results showing sales of ~$930M (down 17% vs. prior guide of +1%) and Adj. EPS of ~$1.12 (vs. guide of $1.47–$1.50). Full-year 2026 Adj. EPS guidance cut to $4.60–$4.80 from $5.30–$5.40; revenue guidance flipped from +2–4% to -4–7%. Pool channel destocking estimated to have negatively impacted Q2 Pool sales by ~$170M and Pool income by ~$105M. Full-year pool destocking impact estimated at ~$250M sales / ~$155M income. Results include ~$35M of IEEPA tariff refunds. </w:t>
      </w:r>
    </w:p>
    <w:p>
      <w:pPr>
        <w:pStyle w:val="ListBullet"/>
        <w:ind w:left="360" w:hanging="360"/>
      </w:pPr>
      <w:r>
        <w:rPr>
          <w:rFonts w:ascii="Calibri" w:hAnsi="Calibri"/>
          <w:b/>
          <w:i/>
          <w:color w:val="525866"/>
          <w:sz w:val="22"/>
        </w:rPr>
        <w:t xml:space="preserve">Implication: </w:t>
      </w:r>
      <w:r>
        <w:rPr>
          <w:rFonts w:ascii="Calibri" w:hAnsi="Calibri"/>
          <w:i/>
          <w:color w:val="525866"/>
          <w:sz w:val="22"/>
        </w:rPr>
        <w:t>The magnitude of the miss vs. guidance issued just 11 weeks earlier is the central credibility issue. Management must explain the disconnect between Q1's "strong sell-through" narrative and Q2's sudden channel collapse.</w:t>
      </w:r>
    </w:p>
    <w:p>
      <w:pPr>
        <w:pStyle w:val="ListBullet"/>
        <w:ind w:left="360" w:hanging="360"/>
      </w:pPr>
      <w:r>
        <w:rPr>
          <w:rFonts w:ascii="Calibri" w:hAnsi="Calibri"/>
          <w:b/>
          <w:color w:val="525866"/>
          <w:sz w:val="22"/>
        </w:rPr>
        <w:t xml:space="preserve">July 14, 2026 — CFO Departure (HIGH IMPACT): </w:t>
      </w:r>
      <w:r>
        <w:rPr>
          <w:rFonts w:ascii="Calibri" w:hAnsi="Calibri"/>
          <w:color w:val="525866"/>
          <w:sz w:val="22"/>
        </w:rPr>
        <w:t xml:space="preserve">Nicholas Brazis departed as CFO effective July 10, 2026, to pursue an opportunity at a private company. Former EVP and CFO Bob Fishman appointed Interim CFO effective immediately. A search for a permanent CFO is underway. </w:t>
      </w:r>
    </w:p>
    <w:p>
      <w:pPr>
        <w:pStyle w:val="ListBullet"/>
        <w:ind w:left="360" w:hanging="360"/>
      </w:pPr>
      <w:r>
        <w:rPr>
          <w:rFonts w:ascii="Calibri" w:hAnsi="Calibri"/>
          <w:b/>
          <w:i/>
          <w:color w:val="525866"/>
          <w:sz w:val="22"/>
        </w:rPr>
        <w:t xml:space="preserve">Implication: </w:t>
      </w:r>
      <w:r>
        <w:rPr>
          <w:rFonts w:ascii="Calibri" w:hAnsi="Calibri"/>
          <w:i/>
          <w:color w:val="525866"/>
          <w:sz w:val="22"/>
        </w:rPr>
        <w:t>The timing of the CFO departure — simultaneous with a major guidance cut — raises governance questions. Investors will want to understand whether the departure was related to the guidance miss. Fishman's return provides some continuity given his 6-year prior tenure.</w:t>
      </w:r>
    </w:p>
    <w:p>
      <w:pPr>
        <w:pStyle w:val="ListBullet"/>
        <w:ind w:left="360" w:hanging="360"/>
      </w:pPr>
      <w:r>
        <w:rPr>
          <w:rFonts w:ascii="Calibri" w:hAnsi="Calibri"/>
          <w:b/>
          <w:color w:val="525866"/>
          <w:sz w:val="22"/>
        </w:rPr>
        <w:t xml:space="preserve">July 15, 2026 — Analyst Reaction: </w:t>
      </w:r>
      <w:r>
        <w:rPr>
          <w:rFonts w:ascii="Calibri" w:hAnsi="Calibri"/>
          <w:color w:val="525866"/>
          <w:sz w:val="22"/>
        </w:rPr>
        <w:t>RBC analyst Deane Dray cut price target to $74 from $101, citing concerns that pool inventory is far worse than management previously indicated. Stock fell ~16% to ~$63.98 on the day of the preannouncement.</w:t>
      </w:r>
    </w:p>
    <w:p>
      <w:pPr>
        <w:pStyle w:val="ListBullet"/>
        <w:ind w:left="360" w:hanging="360"/>
      </w:pPr>
      <w:r>
        <w:rPr>
          <w:rFonts w:ascii="Calibri" w:hAnsi="Calibri"/>
          <w:b/>
          <w:color w:val="525866"/>
          <w:sz w:val="22"/>
        </w:rPr>
        <w:t xml:space="preserve">May 6, 2026 — Credit Amendment / $500M Term Loan: </w:t>
      </w:r>
      <w:r>
        <w:rPr>
          <w:rFonts w:ascii="Calibri" w:hAnsi="Calibri"/>
          <w:color w:val="525866"/>
          <w:sz w:val="22"/>
        </w:rPr>
        <w:t xml:space="preserve">Pentair amended its credit facility and added a $500M term loan for refinancing purposes. </w:t>
      </w:r>
    </w:p>
    <w:p>
      <w:pPr>
        <w:pStyle w:val="ListBullet"/>
        <w:ind w:left="360" w:hanging="360"/>
      </w:pPr>
      <w:r>
        <w:rPr>
          <w:rFonts w:ascii="Calibri" w:hAnsi="Calibri"/>
          <w:b/>
          <w:i/>
          <w:color w:val="525866"/>
          <w:sz w:val="22"/>
        </w:rPr>
        <w:t xml:space="preserve">Implication: </w:t>
      </w:r>
      <w:r>
        <w:rPr>
          <w:rFonts w:ascii="Calibri" w:hAnsi="Calibri"/>
          <w:i/>
          <w:color w:val="525866"/>
          <w:sz w:val="22"/>
        </w:rPr>
        <w:t>Provides liquidity flexibility; not a distress signal given the company's strong FCF generation, but worth monitoring given the guidance cut.</w:t>
      </w:r>
    </w:p>
    <w:p>
      <w:pPr>
        <w:pStyle w:val="ListBullet"/>
        <w:ind w:left="360" w:hanging="360"/>
      </w:pPr>
      <w:r>
        <w:rPr>
          <w:rFonts w:ascii="Calibri" w:hAnsi="Calibri"/>
          <w:b/>
          <w:color w:val="525866"/>
          <w:sz w:val="22"/>
        </w:rPr>
        <w:t xml:space="preserve">Apr. 28, 2026 — Q1 2026 Earnings (Context): </w:t>
      </w:r>
      <w:r>
        <w:rPr>
          <w:rFonts w:ascii="Calibri" w:hAnsi="Calibri"/>
          <w:color w:val="525866"/>
          <w:sz w:val="22"/>
        </w:rPr>
        <w:t>PNR reported Q1 sales of $1.04B (+3% YoY), Adj. EPS of $1.22 (double-digit growth), and 16th consecutive quarter of margin expansion. Raised FY2026 EPS guidance low end to $5.30–$5.40. Pool sell-through was described as strong, with management flagging that channel partners would need to reduce purchases in Q2/Q3 to realign with sell-through — but the magnitude of the Q2 impact was dramatically underestimated.</w:t>
      </w:r>
    </w:p>
    <w:p>
      <w:pPr>
        <w:pStyle w:val="ListBullet"/>
        <w:ind w:left="360" w:hanging="360"/>
      </w:pPr>
      <w:r>
        <w:rPr>
          <w:rFonts w:ascii="Calibri" w:hAnsi="Calibri"/>
          <w:b/>
          <w:color w:val="525866"/>
          <w:sz w:val="22"/>
        </w:rPr>
        <w:t xml:space="preserve">Apr. 28, 2026 — Leadership Restructuring: </w:t>
      </w:r>
      <w:r>
        <w:rPr>
          <w:rFonts w:ascii="Calibri" w:hAnsi="Calibri"/>
          <w:color w:val="525866"/>
          <w:sz w:val="22"/>
        </w:rPr>
        <w:t>Pentair restructured leadership and consolidated the Pool Division role, per an 8-K filed the same day as Q1 earnings. VP of Investor Relations Shelly Hubbard departing; replaced by Jeff Thompson (CFO of Flow and Water Solutions segments).</w:t>
      </w:r>
    </w:p>
    <w:p>
      <w:r>
        <w:rPr>
          <w:rFonts w:ascii="Calibri" w:hAnsi="Calibri"/>
          <w:i/>
          <w:color w:val="525866"/>
          <w:sz w:val="22"/>
        </w:rPr>
        <w:t xml:space="preserve">Source: </w:t>
      </w:r>
      <w:r>
        <w:rPr>
          <w:rFonts w:ascii="Calibri" w:hAnsi="Calibri"/>
          <w:i/>
          <w:color w:val="525866"/>
          <w:sz w:val="22"/>
        </w:rPr>
        <w:t>Pool Corp. (POOL) Q2 2026 Earnings Call Transcript (July 23, 2026).</w:t>
      </w:r>
    </w:p>
    <w:p>
      <w:pPr>
        <w:pStyle w:val="Heading3"/>
      </w:pPr>
      <w:r>
        <w:rPr>
          <w:rFonts w:ascii="Calibri" w:hAnsi="Calibri"/>
          <w:b/>
          <w:color w:val="3B4259"/>
          <w:sz w:val="24"/>
        </w:rPr>
        <w:t>Graco Inc. (GGG) — Q2 2026 Earnings (July 23, 2026)</w:t>
      </w:r>
    </w:p>
    <w:p>
      <w:r>
        <w:rPr>
          <w:rFonts w:ascii="Calibri" w:hAnsi="Calibri"/>
          <w:b/>
          <w:color w:val="525866"/>
          <w:sz w:val="22"/>
        </w:rPr>
        <w:t xml:space="preserve">Relevance: </w:t>
      </w:r>
      <w:r>
        <w:rPr>
          <w:rFonts w:ascii="Calibri" w:hAnsi="Calibri"/>
          <w:color w:val="525866"/>
          <w:sz w:val="22"/>
        </w:rPr>
        <w:t>Graco is a fluid handling equipment manufacturer with exposure to residential contractor, industrial, and commercial end markets — relevant read-through for PNR's Flow and Water Solutions segments.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Graco Commentary (Q2 2026)</w:t>
            </w:r>
          </w:p>
        </w:tc>
        <w:tc>
          <w:tcPr>
            <w:tcW w:type="dxa" w:w="2880"/>
            <w:shd w:val="clear" w:color="auto" w:fill="3B4259"/>
          </w:tcPr>
          <w:p>
            <w:r>
              <w:rPr>
                <w:rFonts w:ascii="Calibri" w:hAnsi="Calibri"/>
                <w:b/>
                <w:color w:val="FFFFFF"/>
                <w:sz w:val="22"/>
              </w:rPr>
              <w:t>Signal for PNR</w:t>
            </w:r>
          </w:p>
        </w:tc>
      </w:tr>
      <w:tr>
        <w:tc>
          <w:tcPr>
            <w:tcW w:type="dxa" w:w="2880"/>
          </w:tcPr>
          <w:p>
            <w:r>
              <w:rPr>
                <w:rFonts w:ascii="Calibri" w:hAnsi="Calibri"/>
                <w:sz w:val="22"/>
              </w:rPr>
              <w:t>Residential Contractor / Remodel</w:t>
            </w:r>
          </w:p>
        </w:tc>
        <w:tc>
          <w:tcPr>
            <w:tcW w:type="dxa" w:w="2880"/>
          </w:tcPr>
          <w:p>
            <w:r>
              <w:rPr>
                <w:rFonts w:ascii="Calibri" w:hAnsi="Calibri"/>
                <w:sz w:val="22"/>
              </w:rPr>
              <w:t>Contractor segment revenue +4%; organic sales higher across both paint and home center markets in Americas "for the first time in nearly two years." "Improved North America activity in residential repaint and remodel projects." Management: "I do feel better about where that business is positioned today than I have for the last few years."</w:t>
            </w:r>
          </w:p>
        </w:tc>
        <w:tc>
          <w:tcPr>
            <w:tcW w:type="dxa" w:w="2880"/>
          </w:tcPr>
          <w:p>
            <w:r>
              <w:rPr>
                <w:rFonts w:ascii="Calibri" w:hAnsi="Calibri"/>
                <w:b/>
                <w:color w:val="30A46C"/>
                <w:sz w:val="22"/>
              </w:rPr>
              <w:t>Positive</w:t>
            </w:r>
            <w:r>
              <w:rPr>
                <w:rFonts w:ascii="Calibri" w:hAnsi="Calibri"/>
                <w:sz w:val="22"/>
              </w:rPr>
              <w:t xml:space="preserve"> — Improving residential remodel activity is a positive leading indicator for PNR's Water Solutions residential products and pool aftermarket demand.</w:t>
            </w:r>
          </w:p>
        </w:tc>
      </w:tr>
      <w:tr>
        <w:tc>
          <w:tcPr>
            <w:tcW w:type="dxa" w:w="2880"/>
          </w:tcPr>
          <w:p>
            <w:r>
              <w:rPr>
                <w:rFonts w:ascii="Calibri" w:hAnsi="Calibri"/>
                <w:sz w:val="22"/>
              </w:rPr>
              <w:t>Channel Sell-Through</w:t>
            </w:r>
          </w:p>
        </w:tc>
        <w:tc>
          <w:tcPr>
            <w:tcW w:type="dxa" w:w="2880"/>
          </w:tcPr>
          <w:p>
            <w:r>
              <w:rPr>
                <w:rFonts w:ascii="Calibri" w:hAnsi="Calibri"/>
                <w:sz w:val="22"/>
              </w:rPr>
              <w:t>"Sell-through trends across the channel, stronger customer engagement." Broad-based pickup vs. a year ago.</w:t>
            </w:r>
          </w:p>
        </w:tc>
        <w:tc>
          <w:tcPr>
            <w:tcW w:type="dxa" w:w="2880"/>
          </w:tcPr>
          <w:p>
            <w:r>
              <w:rPr>
                <w:rFonts w:ascii="Calibri" w:hAnsi="Calibri"/>
                <w:b/>
                <w:color w:val="30A46C"/>
                <w:sz w:val="22"/>
              </w:rPr>
              <w:t>Positive</w:t>
            </w:r>
            <w:r>
              <w:rPr>
                <w:rFonts w:ascii="Calibri" w:hAnsi="Calibri"/>
                <w:sz w:val="22"/>
              </w:rPr>
              <w:t xml:space="preserve"> — Stronger sell-through at Graco's channel partners suggests improving demand fundamentals, which could support PNR's non-pool segments.</w:t>
            </w:r>
          </w:p>
        </w:tc>
      </w:tr>
      <w:tr>
        <w:tc>
          <w:tcPr>
            <w:tcW w:type="dxa" w:w="2880"/>
          </w:tcPr>
          <w:p>
            <w:r>
              <w:rPr>
                <w:rFonts w:ascii="Calibri" w:hAnsi="Calibri"/>
                <w:sz w:val="22"/>
              </w:rPr>
              <w:t>Industrial / Commercial Demand</w:t>
            </w:r>
          </w:p>
        </w:tc>
        <w:tc>
          <w:tcPr>
            <w:tcW w:type="dxa" w:w="2880"/>
          </w:tcPr>
          <w:p>
            <w:r>
              <w:rPr>
                <w:rFonts w:ascii="Calibri" w:hAnsi="Calibri"/>
                <w:sz w:val="22"/>
              </w:rPr>
              <w:t>Industrial segment sales +3%; "better activity across process, machinery manufacturing, general industrial applications, semiconductor, and continued adoption of electrified platforms." PMI turning positive. Bookings up 3% YTD through July 17, +11% over most recent 6-week period.</w:t>
            </w:r>
          </w:p>
        </w:tc>
        <w:tc>
          <w:tcPr>
            <w:tcW w:type="dxa" w:w="2880"/>
          </w:tcPr>
          <w:p>
            <w:r>
              <w:rPr>
                <w:rFonts w:ascii="Calibri" w:hAnsi="Calibri"/>
                <w:b/>
                <w:color w:val="30A46C"/>
                <w:sz w:val="22"/>
              </w:rPr>
              <w:t>Positive</w:t>
            </w:r>
            <w:r>
              <w:rPr>
                <w:rFonts w:ascii="Calibri" w:hAnsi="Calibri"/>
                <w:sz w:val="22"/>
              </w:rPr>
              <w:t xml:space="preserve"> — Broad-based industrial recovery and positive PMI are favorable for PNR's Flow segment commercial and industrial water treatment demand.</w:t>
            </w:r>
          </w:p>
        </w:tc>
      </w:tr>
      <w:tr>
        <w:tc>
          <w:tcPr>
            <w:tcW w:type="dxa" w:w="2880"/>
          </w:tcPr>
          <w:p>
            <w:r>
              <w:rPr>
                <w:rFonts w:ascii="Calibri" w:hAnsi="Calibri"/>
                <w:sz w:val="22"/>
              </w:rPr>
              <w:t>Data Center / Infrastructure</w:t>
            </w:r>
          </w:p>
        </w:tc>
        <w:tc>
          <w:tcPr>
            <w:tcW w:type="dxa" w:w="2880"/>
          </w:tcPr>
          <w:p>
            <w:r>
              <w:rPr>
                <w:rFonts w:ascii="Calibri" w:hAnsi="Calibri"/>
                <w:sz w:val="22"/>
              </w:rPr>
              <w:t>"Good demand in protective coatings and foam" benefiting from "commercial construction, infrastructure and industrial project activity, including investments tied to data centers, energy and manufacturing." Data center activity "enough of an uptick" to mention; expected to continue "in the near term and probably into the next few years."</w:t>
            </w:r>
          </w:p>
        </w:tc>
        <w:tc>
          <w:tcPr>
            <w:tcW w:type="dxa" w:w="2880"/>
          </w:tcPr>
          <w:p>
            <w:r>
              <w:rPr>
                <w:rFonts w:ascii="Calibri" w:hAnsi="Calibri"/>
                <w:b/>
                <w:color w:val="30A46C"/>
                <w:sz w:val="22"/>
              </w:rPr>
              <w:t>Positive</w:t>
            </w:r>
            <w:r>
              <w:rPr>
                <w:rFonts w:ascii="Calibri" w:hAnsi="Calibri"/>
                <w:sz w:val="22"/>
              </w:rPr>
              <w:t xml:space="preserve"> — Data center infrastructure demand is a direct positive for PNR's Flow segment (commercial water treatment, fluid management for data centers).</w:t>
            </w:r>
          </w:p>
        </w:tc>
      </w:tr>
      <w:tr>
        <w:tc>
          <w:tcPr>
            <w:tcW w:type="dxa" w:w="2880"/>
          </w:tcPr>
          <w:p>
            <w:r>
              <w:rPr>
                <w:rFonts w:ascii="Calibri" w:hAnsi="Calibri"/>
                <w:sz w:val="22"/>
              </w:rPr>
              <w:t>Pricing &amp; Margins</w:t>
            </w:r>
          </w:p>
        </w:tc>
        <w:tc>
          <w:tcPr>
            <w:tcW w:type="dxa" w:w="2880"/>
          </w:tcPr>
          <w:p>
            <w:r>
              <w:rPr>
                <w:rFonts w:ascii="Calibri" w:hAnsi="Calibri"/>
                <w:sz w:val="22"/>
              </w:rPr>
              <w:t>"Price cost stays positive." Realized pricing ~1.5–2% YoY. Gross margin +130 bps YoY; operating margin 30% vs. 26% prior year. "Disciplined cost management."</w:t>
            </w:r>
          </w:p>
        </w:tc>
        <w:tc>
          <w:tcPr>
            <w:tcW w:type="dxa" w:w="2880"/>
          </w:tcPr>
          <w:p>
            <w:r>
              <w:rPr>
                <w:rFonts w:ascii="Calibri" w:hAnsi="Calibri"/>
                <w:b/>
                <w:color w:val="30A46C"/>
                <w:sz w:val="22"/>
              </w:rPr>
              <w:t>Positive</w:t>
            </w:r>
            <w:r>
              <w:rPr>
                <w:rFonts w:ascii="Calibri" w:hAnsi="Calibri"/>
                <w:sz w:val="22"/>
              </w:rPr>
              <w:t xml:space="preserve"> — Positive price-cost and margin expansion at Graco supports the view that PNR's transformation-driven margin gains in Flow and Water Solutions are achievable even in a soft volume environment.</w:t>
            </w:r>
          </w:p>
        </w:tc>
      </w:tr>
      <w:tr>
        <w:tc>
          <w:tcPr>
            <w:tcW w:type="dxa" w:w="2880"/>
          </w:tcPr>
          <w:p>
            <w:r>
              <w:rPr>
                <w:rFonts w:ascii="Calibri" w:hAnsi="Calibri"/>
                <w:sz w:val="22"/>
              </w:rPr>
              <w:t>Forward Outlook</w:t>
            </w:r>
          </w:p>
        </w:tc>
        <w:tc>
          <w:tcPr>
            <w:tcW w:type="dxa" w:w="2880"/>
          </w:tcPr>
          <w:p>
            <w:r>
              <w:rPr>
                <w:rFonts w:ascii="Calibri" w:hAnsi="Calibri"/>
                <w:sz w:val="22"/>
              </w:rPr>
              <w:t>Maintaining full-year outlook; Q3 revenue guide of $580–$600M. "Positive order trends and backlog growth." "More back-half loaded." Semiconductor bookings +58% in Q2; +33% YTD.</w:t>
            </w:r>
          </w:p>
        </w:tc>
        <w:tc>
          <w:tcPr>
            <w:tcW w:type="dxa" w:w="2880"/>
          </w:tcPr>
          <w:p>
            <w:r>
              <w:rPr>
                <w:rFonts w:ascii="Calibri" w:hAnsi="Calibri"/>
                <w:b/>
                <w:color w:val="30A46C"/>
                <w:sz w:val="22"/>
              </w:rPr>
              <w:t>Positive</w:t>
            </w:r>
            <w:r>
              <w:rPr>
                <w:rFonts w:ascii="Calibri" w:hAnsi="Calibri"/>
                <w:sz w:val="22"/>
              </w:rPr>
              <w:t xml:space="preserve"> — Strong order momentum and backlog growth at Graco suggest the industrial end market is healthy, which is a positive backdrop for PNR's Flow segment H2 2026 performance.</w:t>
            </w:r>
          </w:p>
        </w:tc>
      </w:tr>
    </w:tbl>
    <w:p>
      <w:r>
        <w:rPr>
          <w:rFonts w:ascii="Calibri" w:hAnsi="Calibri"/>
          <w:i/>
          <w:color w:val="525866"/>
          <w:sz w:val="22"/>
        </w:rPr>
        <w:t xml:space="preserve">Source: </w:t>
      </w:r>
      <w:r>
        <w:rPr>
          <w:rFonts w:ascii="Calibri" w:hAnsi="Calibri"/>
          <w:i/>
          <w:color w:val="525866"/>
          <w:sz w:val="22"/>
        </w:rPr>
        <w:t>Graco Inc. (GGG) Q2 2026 Earnings Call Transcript (July 23, 2026).</w:t>
      </w:r>
    </w:p>
    <w:p>
      <w:pPr>
        <w:pStyle w:val="Heading3"/>
      </w:pPr>
      <w:r>
        <w:rPr>
          <w:rFonts w:ascii="Calibri" w:hAnsi="Calibri"/>
          <w:b/>
          <w:color w:val="3B4259"/>
          <w:sz w:val="24"/>
        </w:rPr>
        <w:t>Dover Corporation (DOV) — Q2 2026 Earnings (July 23, 2026)</w:t>
      </w:r>
    </w:p>
    <w:p>
      <w:r>
        <w:rPr>
          <w:rFonts w:ascii="Calibri" w:hAnsi="Calibri"/>
          <w:b/>
          <w:color w:val="525866"/>
          <w:sz w:val="22"/>
        </w:rPr>
        <w:t xml:space="preserve">Relevance: </w:t>
      </w:r>
      <w:r>
        <w:rPr>
          <w:rFonts w:ascii="Calibri" w:hAnsi="Calibri"/>
          <w:color w:val="525866"/>
          <w:sz w:val="22"/>
        </w:rPr>
        <w:t>Dover is a diversified industrial manufacturer with significant exposure to water/fluid management, data center thermal management, and commercial refrigeration — relevant for PNR's Flow and Water Solutions segments.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Dover Commentary (Q2 2026)</w:t>
            </w:r>
          </w:p>
        </w:tc>
        <w:tc>
          <w:tcPr>
            <w:tcW w:type="dxa" w:w="2880"/>
            <w:shd w:val="clear" w:color="auto" w:fill="3B4259"/>
          </w:tcPr>
          <w:p>
            <w:r>
              <w:rPr>
                <w:rFonts w:ascii="Calibri" w:hAnsi="Calibri"/>
                <w:b/>
                <w:color w:val="FFFFFF"/>
                <w:sz w:val="22"/>
              </w:rPr>
              <w:t>Signal for PNR</w:t>
            </w:r>
          </w:p>
        </w:tc>
      </w:tr>
      <w:tr>
        <w:tc>
          <w:tcPr>
            <w:tcW w:type="dxa" w:w="2880"/>
          </w:tcPr>
          <w:p>
            <w:r>
              <w:rPr>
                <w:rFonts w:ascii="Calibri" w:hAnsi="Calibri"/>
                <w:sz w:val="22"/>
              </w:rPr>
              <w:t>Overall Industrial Demand</w:t>
            </w:r>
          </w:p>
        </w:tc>
        <w:tc>
          <w:tcPr>
            <w:tcW w:type="dxa" w:w="2880"/>
          </w:tcPr>
          <w:p>
            <w:r>
              <w:rPr>
                <w:rFonts w:ascii="Calibri" w:hAnsi="Calibri"/>
                <w:sz w:val="22"/>
              </w:rPr>
              <w:t>All-in revenue +7% (5% organic); all 5 segments posted positive organic growth. Bookings +16% YoY; book-to-bill 1.06. Raising full-year Adj. EPS guidance; committed to double-digit Adj. EPS growth. "Demand signals remain constructive."</w:t>
            </w:r>
          </w:p>
        </w:tc>
        <w:tc>
          <w:tcPr>
            <w:tcW w:type="dxa" w:w="2880"/>
          </w:tcPr>
          <w:p>
            <w:r>
              <w:rPr>
                <w:rFonts w:ascii="Calibri" w:hAnsi="Calibri"/>
                <w:b/>
                <w:color w:val="30A46C"/>
                <w:sz w:val="22"/>
              </w:rPr>
              <w:t>Positive</w:t>
            </w:r>
            <w:r>
              <w:rPr>
                <w:rFonts w:ascii="Calibri" w:hAnsi="Calibri"/>
                <w:sz w:val="22"/>
              </w:rPr>
              <w:t xml:space="preserve"> — Broad-based industrial strength and strong order momentum are a positive backdrop for PNR's Flow segment.</w:t>
            </w:r>
          </w:p>
        </w:tc>
      </w:tr>
      <w:tr>
        <w:tc>
          <w:tcPr>
            <w:tcW w:type="dxa" w:w="2880"/>
          </w:tcPr>
          <w:p>
            <w:r>
              <w:rPr>
                <w:rFonts w:ascii="Calibri" w:hAnsi="Calibri"/>
                <w:sz w:val="22"/>
              </w:rPr>
              <w:t>Data Center / Liquid Cooling</w:t>
            </w:r>
          </w:p>
        </w:tc>
        <w:tc>
          <w:tcPr>
            <w:tcW w:type="dxa" w:w="2880"/>
          </w:tcPr>
          <w:p>
            <w:r>
              <w:rPr>
                <w:rFonts w:ascii="Calibri" w:hAnsi="Calibri"/>
                <w:sz w:val="22"/>
              </w:rPr>
              <w:t>Heat exchangers delivered "best quarter ever" with "particularly strong demand tied to liquid cooling for data centers." Actively working to double capacity over next 12 months. "Demand tied to data center infrastructure remains exceptional, with customers securing capacity well ahead of need."</w:t>
            </w:r>
          </w:p>
        </w:tc>
        <w:tc>
          <w:tcPr>
            <w:tcW w:type="dxa" w:w="2880"/>
          </w:tcPr>
          <w:p>
            <w:r>
              <w:rPr>
                <w:rFonts w:ascii="Calibri" w:hAnsi="Calibri"/>
                <w:b/>
                <w:color w:val="30A46C"/>
                <w:sz w:val="22"/>
              </w:rPr>
              <w:t>Positive</w:t>
            </w:r>
            <w:r>
              <w:rPr>
                <w:rFonts w:ascii="Calibri" w:hAnsi="Calibri"/>
                <w:sz w:val="22"/>
              </w:rPr>
              <w:t xml:space="preserve"> — Exceptional data center demand is a strong positive read-through for PNR's Flow segment commercial water and fluid management products serving data center infrastructure.</w:t>
            </w:r>
          </w:p>
        </w:tc>
      </w:tr>
      <w:tr>
        <w:tc>
          <w:tcPr>
            <w:tcW w:type="dxa" w:w="2880"/>
          </w:tcPr>
          <w:p>
            <w:r>
              <w:rPr>
                <w:rFonts w:ascii="Calibri" w:hAnsi="Calibri"/>
                <w:sz w:val="22"/>
              </w:rPr>
              <w:t>Residential Heat Pumps (Europe)</w:t>
            </w:r>
          </w:p>
        </w:tc>
        <w:tc>
          <w:tcPr>
            <w:tcW w:type="dxa" w:w="2880"/>
          </w:tcPr>
          <w:p>
            <w:r>
              <w:rPr>
                <w:rFonts w:ascii="Calibri" w:hAnsi="Calibri"/>
                <w:sz w:val="22"/>
              </w:rPr>
              <w:t>"Welcome recovery in European residential heat pumps."</w:t>
            </w:r>
          </w:p>
        </w:tc>
        <w:tc>
          <w:tcPr>
            <w:tcW w:type="dxa" w:w="2880"/>
          </w:tcPr>
          <w:p>
            <w:r>
              <w:rPr>
                <w:rFonts w:ascii="Calibri" w:hAnsi="Calibri"/>
                <w:b/>
                <w:color w:val="30A46C"/>
                <w:sz w:val="22"/>
              </w:rPr>
              <w:t>Positive</w:t>
            </w:r>
            <w:r>
              <w:rPr>
                <w:rFonts w:ascii="Calibri" w:hAnsi="Calibri"/>
                <w:sz w:val="22"/>
              </w:rPr>
              <w:t xml:space="preserve"> — Modest positive for PNR's Water Solutions international residential exposure.</w:t>
            </w:r>
          </w:p>
        </w:tc>
      </w:tr>
      <w:tr>
        <w:tc>
          <w:tcPr>
            <w:tcW w:type="dxa" w:w="2880"/>
          </w:tcPr>
          <w:p>
            <w:r>
              <w:rPr>
                <w:rFonts w:ascii="Calibri" w:hAnsi="Calibri"/>
                <w:sz w:val="22"/>
              </w:rPr>
              <w:t>Margins</w:t>
            </w:r>
          </w:p>
        </w:tc>
        <w:tc>
          <w:tcPr>
            <w:tcW w:type="dxa" w:w="2880"/>
          </w:tcPr>
          <w:p>
            <w:r>
              <w:rPr>
                <w:rFonts w:ascii="Calibri" w:hAnsi="Calibri"/>
                <w:sz w:val="22"/>
              </w:rPr>
              <w:t>Adj. EBITDA margin +80 bps to 25.9%; incremental margins 38% (vs. 25% in Q1). "Healthy product mix driven by growth platforms." Operational execution offsetting input cost inflation.</w:t>
            </w:r>
          </w:p>
        </w:tc>
        <w:tc>
          <w:tcPr>
            <w:tcW w:type="dxa" w:w="2880"/>
          </w:tcPr>
          <w:p>
            <w:r>
              <w:rPr>
                <w:rFonts w:ascii="Calibri" w:hAnsi="Calibri"/>
                <w:b/>
                <w:color w:val="30A46C"/>
                <w:sz w:val="22"/>
              </w:rPr>
              <w:t>Positive</w:t>
            </w:r>
            <w:r>
              <w:rPr>
                <w:rFonts w:ascii="Calibri" w:hAnsi="Calibri"/>
                <w:sz w:val="22"/>
              </w:rPr>
              <w:t xml:space="preserve"> — Strong margin execution at DOV supports the view that PNR's transformation-driven margin gains in Flow and Water Solutions are achievable.</w:t>
            </w:r>
          </w:p>
        </w:tc>
      </w:tr>
      <w:tr>
        <w:tc>
          <w:tcPr>
            <w:tcW w:type="dxa" w:w="2880"/>
          </w:tcPr>
          <w:p>
            <w:r>
              <w:rPr>
                <w:rFonts w:ascii="Calibri" w:hAnsi="Calibri"/>
                <w:sz w:val="22"/>
              </w:rPr>
              <w:t>2027 Visibility</w:t>
            </w:r>
          </w:p>
        </w:tc>
        <w:tc>
          <w:tcPr>
            <w:tcW w:type="dxa" w:w="2880"/>
          </w:tcPr>
          <w:p>
            <w:r>
              <w:rPr>
                <w:rFonts w:ascii="Calibri" w:hAnsi="Calibri"/>
                <w:sz w:val="22"/>
              </w:rPr>
              <w:t>"The cycles the company participates in have visibility into 2027, and management does not foresee any business going negative into 2027."</w:t>
            </w:r>
          </w:p>
        </w:tc>
        <w:tc>
          <w:tcPr>
            <w:tcW w:type="dxa" w:w="2880"/>
          </w:tcPr>
          <w:p>
            <w:r>
              <w:rPr>
                <w:rFonts w:ascii="Calibri" w:hAnsi="Calibri"/>
                <w:b/>
                <w:color w:val="30A46C"/>
                <w:sz w:val="22"/>
              </w:rPr>
              <w:t>Positive</w:t>
            </w:r>
            <w:r>
              <w:rPr>
                <w:rFonts w:ascii="Calibri" w:hAnsi="Calibri"/>
                <w:sz w:val="22"/>
              </w:rPr>
              <w:t xml:space="preserve"> — DOV's 2027 visibility supports PNR's narrative that the pool destocking is a 2026-only event and that Flow/Water Solutions can sustain growth into 2027.</w:t>
            </w:r>
          </w:p>
        </w:tc>
      </w:tr>
    </w:tbl>
    <w:p>
      <w:r>
        <w:rPr>
          <w:rFonts w:ascii="Calibri" w:hAnsi="Calibri"/>
          <w:i/>
          <w:color w:val="525866"/>
          <w:sz w:val="22"/>
        </w:rPr>
        <w:t xml:space="preserve">Source: </w:t>
      </w:r>
      <w:r>
        <w:rPr>
          <w:rFonts w:ascii="Calibri" w:hAnsi="Calibri"/>
          <w:i/>
          <w:color w:val="525866"/>
          <w:sz w:val="22"/>
        </w:rPr>
        <w:t>Dover Corporation (DOV) Q2 2026 Earnings Call Transcript (July 23, 2026).</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PNR Segment</w:t>
            </w:r>
          </w:p>
        </w:tc>
        <w:tc>
          <w:tcPr>
            <w:tcW w:type="dxa" w:w="2880"/>
            <w:shd w:val="clear" w:color="auto" w:fill="3B4259"/>
          </w:tcPr>
          <w:p>
            <w:r>
              <w:rPr>
                <w:rFonts w:ascii="Calibri" w:hAnsi="Calibri"/>
                <w:b/>
                <w:color w:val="FFFFFF"/>
                <w:sz w:val="22"/>
              </w:rPr>
              <w:t>Key Peer Signal</w:t>
            </w:r>
          </w:p>
        </w:tc>
        <w:tc>
          <w:tcPr>
            <w:tcW w:type="dxa" w:w="2880"/>
            <w:shd w:val="clear" w:color="auto" w:fill="3B4259"/>
          </w:tcPr>
          <w:p>
            <w:r>
              <w:rPr>
                <w:rFonts w:ascii="Calibri" w:hAnsi="Calibri"/>
                <w:b/>
                <w:color w:val="FFFFFF"/>
                <w:sz w:val="22"/>
              </w:rPr>
              <w:t>Net Read-Through</w:t>
            </w:r>
          </w:p>
        </w:tc>
      </w:tr>
      <w:tr>
        <w:tc>
          <w:tcPr>
            <w:tcW w:type="dxa" w:w="2880"/>
          </w:tcPr>
          <w:p>
            <w:r>
              <w:rPr>
                <w:rFonts w:ascii="Calibri" w:hAnsi="Calibri"/>
                <w:sz w:val="22"/>
              </w:rPr>
              <w:t>Pool</w:t>
            </w:r>
          </w:p>
        </w:tc>
        <w:tc>
          <w:tcPr>
            <w:tcW w:type="dxa" w:w="2880"/>
          </w:tcPr>
          <w:p>
            <w:r>
              <w:rPr>
                <w:rFonts w:ascii="Calibri" w:hAnsi="Calibri"/>
                <w:sz w:val="22"/>
              </w:rPr>
              <w:t>POOL: Market "bouncing off bottom"; new construction still muted; discretionary demand measured; channel inventory manageable at POOL level</w:t>
            </w:r>
          </w:p>
        </w:tc>
        <w:tc>
          <w:tcPr>
            <w:tcW w:type="dxa" w:w="2880"/>
          </w:tcPr>
          <w:p>
            <w:r>
              <w:rPr>
                <w:rFonts w:ascii="Calibri" w:hAnsi="Calibri"/>
                <w:b/>
                <w:color w:val="002FA7"/>
                <w:sz w:val="22"/>
              </w:rPr>
              <w:t>Mixed</w:t>
            </w:r>
            <w:r>
              <w:rPr>
                <w:rFonts w:ascii="Calibri" w:hAnsi="Calibri"/>
                <w:sz w:val="22"/>
              </w:rPr>
              <w:t xml:space="preserve"> — Stability is encouraging for 2027 recovery narrative, but near-term destocking at PNR's specific channel partners may not be complete</w:t>
            </w:r>
          </w:p>
        </w:tc>
      </w:tr>
      <w:tr>
        <w:tc>
          <w:tcPr>
            <w:tcW w:type="dxa" w:w="2880"/>
          </w:tcPr>
          <w:p>
            <w:r>
              <w:rPr>
                <w:rFonts w:ascii="Calibri" w:hAnsi="Calibri"/>
                <w:sz w:val="22"/>
              </w:rPr>
              <w:t>Flow</w:t>
            </w:r>
          </w:p>
        </w:tc>
        <w:tc>
          <w:tcPr>
            <w:tcW w:type="dxa" w:w="2880"/>
          </w:tcPr>
          <w:p>
            <w:r>
              <w:rPr>
                <w:rFonts w:ascii="Calibri" w:hAnsi="Calibri"/>
                <w:sz w:val="22"/>
              </w:rPr>
              <w:t>GGG: Industrial +3%, bookings +11% recent 6-wk; DOV: All segments positive, data center demand exceptional, book-to-bill 1.06</w:t>
            </w:r>
          </w:p>
        </w:tc>
        <w:tc>
          <w:tcPr>
            <w:tcW w:type="dxa" w:w="2880"/>
          </w:tcPr>
          <w:p>
            <w:r>
              <w:rPr>
                <w:rFonts w:ascii="Calibri" w:hAnsi="Calibri"/>
                <w:b/>
                <w:color w:val="30A46C"/>
                <w:sz w:val="22"/>
              </w:rPr>
              <w:t>Positive</w:t>
            </w:r>
            <w:r>
              <w:rPr>
                <w:rFonts w:ascii="Calibri" w:hAnsi="Calibri"/>
                <w:sz w:val="22"/>
              </w:rPr>
              <w:t xml:space="preserve"> — Strong industrial and data center demand supports PNR Flow's mid-to-high single digit growth guide</w:t>
            </w:r>
          </w:p>
        </w:tc>
      </w:tr>
      <w:tr>
        <w:tc>
          <w:tcPr>
            <w:tcW w:type="dxa" w:w="2880"/>
          </w:tcPr>
          <w:p>
            <w:r>
              <w:rPr>
                <w:rFonts w:ascii="Calibri" w:hAnsi="Calibri"/>
                <w:sz w:val="22"/>
              </w:rPr>
              <w:t>Water Solutions</w:t>
            </w:r>
          </w:p>
        </w:tc>
        <w:tc>
          <w:tcPr>
            <w:tcW w:type="dxa" w:w="2880"/>
          </w:tcPr>
          <w:p>
            <w:r>
              <w:rPr>
                <w:rFonts w:ascii="Calibri" w:hAnsi="Calibri"/>
                <w:sz w:val="22"/>
              </w:rPr>
              <w:t>GGG: Residential remodel improving for first time in ~2 years; DOV: European residential heat pump recovery</w:t>
            </w:r>
          </w:p>
        </w:tc>
        <w:tc>
          <w:tcPr>
            <w:tcW w:type="dxa" w:w="2880"/>
          </w:tcPr>
          <w:p>
            <w:r>
              <w:rPr>
                <w:rFonts w:ascii="Calibri" w:hAnsi="Calibri"/>
                <w:b/>
                <w:color w:val="30A46C"/>
                <w:sz w:val="22"/>
              </w:rPr>
              <w:t>Positive</w:t>
            </w:r>
            <w:r>
              <w:rPr>
                <w:rFonts w:ascii="Calibri" w:hAnsi="Calibri"/>
                <w:sz w:val="22"/>
              </w:rPr>
              <w:t xml:space="preserve"> — Improving residential remodel activity is a positive leading indicator for Water Solutions residential products</w:t>
            </w:r>
          </w:p>
        </w:tc>
      </w:tr>
      <w:tr>
        <w:tc>
          <w:tcPr>
            <w:tcW w:type="dxa" w:w="2880"/>
          </w:tcPr>
          <w:p>
            <w:r>
              <w:rPr>
                <w:rFonts w:ascii="Calibri" w:hAnsi="Calibri"/>
                <w:sz w:val="22"/>
              </w:rPr>
              <w:t>Margins / Pricing</w:t>
            </w:r>
          </w:p>
        </w:tc>
        <w:tc>
          <w:tcPr>
            <w:tcW w:type="dxa" w:w="2880"/>
          </w:tcPr>
          <w:p>
            <w:r>
              <w:rPr>
                <w:rFonts w:ascii="Calibri" w:hAnsi="Calibri"/>
                <w:sz w:val="22"/>
              </w:rPr>
              <w:t>GGG: Price-cost positive, margins +130 bps; DOV: EBITDA margin +80 bps, incremental margins 38%</w:t>
            </w:r>
          </w:p>
        </w:tc>
        <w:tc>
          <w:tcPr>
            <w:tcW w:type="dxa" w:w="2880"/>
          </w:tcPr>
          <w:p>
            <w:r>
              <w:rPr>
                <w:rFonts w:ascii="Calibri" w:hAnsi="Calibri"/>
                <w:b/>
                <w:color w:val="30A46C"/>
                <w:sz w:val="22"/>
              </w:rPr>
              <w:t>Positive</w:t>
            </w:r>
            <w:r>
              <w:rPr>
                <w:rFonts w:ascii="Calibri" w:hAnsi="Calibri"/>
                <w:sz w:val="22"/>
              </w:rPr>
              <w:t xml:space="preserve"> — Peer margin execution supports PNR's transformation-driven margin story in Flow and Water Solutions, even if Pool dilutes the consolidated margin</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since Q1 earnings — the only Form 4 activity is a restricted stock unit grant to interim CFO Bob Fishman (compensation-related) and two small tax-withholding dispositions by other executives. </w:t>
      </w:r>
      <w:r>
        <w:rPr>
          <w:rFonts w:ascii="Calibri" w:hAnsi="Calibri"/>
          <w:b/>
          <w:color w:val="525866"/>
          <w:sz w:val="22"/>
        </w:rPr>
        <w:t>The absence of insider buying despite a ~24% stock decline is notable</w:t>
      </w:r>
      <w:r>
        <w:rPr>
          <w:rFonts w:ascii="Calibri" w:hAnsi="Calibri"/>
          <w:color w:val="525866"/>
          <w:sz w:val="22"/>
        </w:rPr>
        <w:t xml:space="preserve"> and may reflect blackout period restrictions or uncertainty about the near-term outlook.</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Robert P. Fishman</w:t>
            </w:r>
          </w:p>
        </w:tc>
        <w:tc>
          <w:tcPr>
            <w:tcW w:type="dxa" w:w="1440"/>
          </w:tcPr>
          <w:p>
            <w:r>
              <w:rPr>
                <w:rFonts w:ascii="Calibri" w:hAnsi="Calibri"/>
                <w:sz w:val="22"/>
              </w:rPr>
              <w:t>Interim EVP &amp; CFO</w:t>
            </w:r>
          </w:p>
        </w:tc>
        <w:tc>
          <w:tcPr>
            <w:tcW w:type="dxa" w:w="1440"/>
          </w:tcPr>
          <w:p>
            <w:r>
              <w:rPr>
                <w:rFonts w:ascii="Calibri" w:hAnsi="Calibri"/>
                <w:sz w:val="22"/>
              </w:rPr>
              <w:t>RSU Grant (Award)</w:t>
            </w:r>
          </w:p>
        </w:tc>
        <w:tc>
          <w:tcPr>
            <w:tcW w:type="dxa" w:w="1440"/>
          </w:tcPr>
          <w:p>
            <w:r>
              <w:rPr>
                <w:rFonts w:ascii="Calibri" w:hAnsi="Calibri"/>
                <w:sz w:val="22"/>
              </w:rPr>
              <w:t>13,214 RSUs</w:t>
            </w:r>
          </w:p>
        </w:tc>
        <w:tc>
          <w:tcPr>
            <w:tcW w:type="dxa" w:w="1440"/>
          </w:tcPr>
          <w:p>
            <w:r>
              <w:rPr>
                <w:rFonts w:ascii="Calibri" w:hAnsi="Calibri"/>
                <w:sz w:val="22"/>
              </w:rPr>
              <w:t>July 14, 2026</w:t>
            </w:r>
          </w:p>
        </w:tc>
        <w:tc>
          <w:tcPr>
            <w:tcW w:type="dxa" w:w="1440"/>
          </w:tcPr>
          <w:p>
            <w:r>
              <w:rPr>
                <w:rFonts w:ascii="Calibri" w:hAnsi="Calibri"/>
                <w:sz w:val="22"/>
              </w:rPr>
              <w:t>Compensation grant upon appointment as Interim CFO; not an open-market purchase. Disclosed July 16, 2026.</w:t>
            </w:r>
          </w:p>
        </w:tc>
      </w:tr>
      <w:tr>
        <w:tc>
          <w:tcPr>
            <w:tcW w:type="dxa" w:w="1440"/>
          </w:tcPr>
          <w:p>
            <w:r>
              <w:rPr>
                <w:rFonts w:ascii="Calibri" w:hAnsi="Calibri"/>
                <w:sz w:val="22"/>
              </w:rPr>
              <w:t>Jennifer M. Hensley</w:t>
            </w:r>
          </w:p>
        </w:tc>
        <w:tc>
          <w:tcPr>
            <w:tcW w:type="dxa" w:w="1440"/>
          </w:tcPr>
          <w:p>
            <w:r>
              <w:rPr>
                <w:rFonts w:ascii="Calibri" w:hAnsi="Calibri"/>
                <w:sz w:val="22"/>
              </w:rPr>
              <w:t>SVP, CAO &amp; Controller</w:t>
            </w:r>
          </w:p>
        </w:tc>
        <w:tc>
          <w:tcPr>
            <w:tcW w:type="dxa" w:w="1440"/>
          </w:tcPr>
          <w:p>
            <w:r>
              <w:rPr>
                <w:rFonts w:ascii="Calibri" w:hAnsi="Calibri"/>
                <w:sz w:val="22"/>
              </w:rPr>
              <w:t>Tax Withholding Disposition (F)</w:t>
            </w:r>
          </w:p>
        </w:tc>
        <w:tc>
          <w:tcPr>
            <w:tcW w:type="dxa" w:w="1440"/>
          </w:tcPr>
          <w:p>
            <w:r>
              <w:rPr>
                <w:rFonts w:ascii="Calibri" w:hAnsi="Calibri"/>
                <w:sz w:val="22"/>
              </w:rPr>
              <w:t>59 shares</w:t>
            </w:r>
          </w:p>
        </w:tc>
        <w:tc>
          <w:tcPr>
            <w:tcW w:type="dxa" w:w="1440"/>
          </w:tcPr>
          <w:p>
            <w:r>
              <w:rPr>
                <w:rFonts w:ascii="Calibri" w:hAnsi="Calibri"/>
                <w:sz w:val="22"/>
              </w:rPr>
              <w:t>May 12, 2026</w:t>
            </w:r>
          </w:p>
        </w:tc>
        <w:tc>
          <w:tcPr>
            <w:tcW w:type="dxa" w:w="1440"/>
          </w:tcPr>
          <w:p>
            <w:r>
              <w:rPr>
                <w:rFonts w:ascii="Calibri" w:hAnsi="Calibri"/>
                <w:sz w:val="22"/>
              </w:rPr>
              <w:t>Shares withheld for tax obligation on vesting; not a discretionary sale. Disclosed May 13, 2026.</w:t>
            </w:r>
          </w:p>
        </w:tc>
      </w:tr>
      <w:tr>
        <w:tc>
          <w:tcPr>
            <w:tcW w:type="dxa" w:w="1440"/>
          </w:tcPr>
          <w:p>
            <w:r>
              <w:rPr>
                <w:rFonts w:ascii="Calibri" w:hAnsi="Calibri"/>
                <w:sz w:val="22"/>
              </w:rPr>
              <w:t>Heather M. Hausmann</w:t>
            </w:r>
          </w:p>
        </w:tc>
        <w:tc>
          <w:tcPr>
            <w:tcW w:type="dxa" w:w="1440"/>
          </w:tcPr>
          <w:p>
            <w:r>
              <w:rPr>
                <w:rFonts w:ascii="Calibri" w:hAnsi="Calibri"/>
                <w:sz w:val="22"/>
              </w:rPr>
              <w:t>EVP, CIO &amp; CISO</w:t>
            </w:r>
          </w:p>
        </w:tc>
        <w:tc>
          <w:tcPr>
            <w:tcW w:type="dxa" w:w="1440"/>
          </w:tcPr>
          <w:p>
            <w:r>
              <w:rPr>
                <w:rFonts w:ascii="Calibri" w:hAnsi="Calibri"/>
                <w:sz w:val="22"/>
              </w:rPr>
              <w:t>Tax Withholding Disposition (F)</w:t>
            </w:r>
          </w:p>
        </w:tc>
        <w:tc>
          <w:tcPr>
            <w:tcW w:type="dxa" w:w="1440"/>
          </w:tcPr>
          <w:p>
            <w:r>
              <w:rPr>
                <w:rFonts w:ascii="Calibri" w:hAnsi="Calibri"/>
                <w:sz w:val="22"/>
              </w:rPr>
              <w:t>74 shares</w:t>
            </w:r>
          </w:p>
        </w:tc>
        <w:tc>
          <w:tcPr>
            <w:tcW w:type="dxa" w:w="1440"/>
          </w:tcPr>
          <w:p>
            <w:r>
              <w:rPr>
                <w:rFonts w:ascii="Calibri" w:hAnsi="Calibri"/>
                <w:sz w:val="22"/>
              </w:rPr>
              <w:t>April 30, 2026</w:t>
            </w:r>
          </w:p>
        </w:tc>
        <w:tc>
          <w:tcPr>
            <w:tcW w:type="dxa" w:w="1440"/>
          </w:tcPr>
          <w:p>
            <w:r>
              <w:rPr>
                <w:rFonts w:ascii="Calibri" w:hAnsi="Calibri"/>
                <w:sz w:val="22"/>
              </w:rPr>
              <w:t>Shares withheld for tax obligation on vesting; not a discretionary sale. Disclosed May 1, 2026.</w:t>
            </w:r>
          </w:p>
        </w:tc>
      </w:tr>
    </w:tbl>
    <w:p>
      <w:r>
        <w:rPr>
          <w:rFonts w:ascii="Calibri" w:hAnsi="Calibri"/>
          <w:color w:val="525866"/>
          <w:sz w:val="22"/>
        </w:rPr>
        <w:t>No open-market buys or discretionary sells were filed since Q1 earnings (April 28, 2026). The only Form 4 activity consists of: (1) a compensation-related RSU grant to interim CFO Fishman upon his appointment, and (2) two routine tax-withholding dispositions by other executives on vesting events. The absence of any open-market insider buying following a ~24% stock decline is worth noting — though this may reflect standard pre-earnings blackout restrictions rather than a bearish signal. Investors should watch for any post-earnings insider buying as a potential confidence signal.</w:t>
      </w:r>
      <w:r>
        <w:rPr>
          <w:rFonts w:ascii="Calibri" w:hAnsi="Calibri"/>
          <w:i/>
          <w:color w:val="525866"/>
          <w:sz w:val="22"/>
        </w:rPr>
        <w:t xml:space="preserve"> Source: SEC Form 4 Filings Database.</w:t>
      </w:r>
    </w:p>
    <w:p>
      <w:r>
        <w:br w:type="page"/>
      </w:r>
    </w:p>
    <w:p>
      <w:pPr>
        <w:pStyle w:val="Heading2"/>
      </w:pPr>
      <w:r>
        <w:rPr>
          <w:rFonts w:ascii="Calibri" w:hAnsi="Calibri"/>
          <w:b/>
          <w:color w:val="3B4259"/>
          <w:sz w:val="28"/>
        </w:rPr>
        <w:t>Key Questions for the Q2 2026 Earnings Call (July 28, 2026)</w:t>
      </w:r>
    </w:p>
    <w:p>
      <w:pPr>
        <w:pStyle w:val="ListBullet"/>
        <w:ind w:left="360" w:hanging="360"/>
      </w:pPr>
      <w:r>
        <w:rPr>
          <w:rFonts w:ascii="Calibri" w:hAnsi="Calibri"/>
          <w:b/>
          <w:color w:val="525866"/>
          <w:sz w:val="22"/>
        </w:rPr>
        <w:t xml:space="preserve">Pool Channel Inventory: </w:t>
      </w:r>
      <w:r>
        <w:rPr>
          <w:rFonts w:ascii="Calibri" w:hAnsi="Calibri"/>
          <w:color w:val="525866"/>
          <w:sz w:val="22"/>
        </w:rPr>
        <w:t>What is the current level of channel inventory at key pool distributors, and what is management's best estimate of when destocking will be complete? Is Q3 2026 the trough, or does the reset extend into Q4?</w:t>
      </w:r>
    </w:p>
    <w:p>
      <w:pPr>
        <w:pStyle w:val="ListBullet"/>
        <w:ind w:left="360" w:hanging="360"/>
      </w:pPr>
      <w:r>
        <w:rPr>
          <w:rFonts w:ascii="Calibri" w:hAnsi="Calibri"/>
          <w:b/>
          <w:color w:val="525866"/>
          <w:sz w:val="22"/>
        </w:rPr>
        <w:t xml:space="preserve">Guidance Miss Explanation: </w:t>
      </w:r>
      <w:r>
        <w:rPr>
          <w:rFonts w:ascii="Calibri" w:hAnsi="Calibri"/>
          <w:color w:val="525866"/>
          <w:sz w:val="22"/>
        </w:rPr>
        <w:t>How did management miss the pool destocking by ~$170M in Q2 when the Q1 call (April 28) explicitly flagged that channel partners would need to reduce purchases? What changed between April 28 and July 14?</w:t>
      </w:r>
    </w:p>
    <w:p>
      <w:pPr>
        <w:pStyle w:val="ListBullet"/>
        <w:ind w:left="360" w:hanging="360"/>
      </w:pPr>
      <w:r>
        <w:rPr>
          <w:rFonts w:ascii="Calibri" w:hAnsi="Calibri"/>
          <w:b/>
          <w:color w:val="525866"/>
          <w:sz w:val="22"/>
        </w:rPr>
        <w:t xml:space="preserve">2027 Recovery Confidence: </w:t>
      </w:r>
      <w:r>
        <w:rPr>
          <w:rFonts w:ascii="Calibri" w:hAnsi="Calibri"/>
          <w:color w:val="525866"/>
          <w:sz w:val="22"/>
        </w:rPr>
        <w:t>What specific data points (sell-through rates, distributor order patterns, new pool permits) give management confidence that pool sell-in will normalize for the 2027 season? Is the $250M full-year destocking impact the right number, or is there further risk?</w:t>
      </w:r>
    </w:p>
    <w:p>
      <w:pPr>
        <w:pStyle w:val="ListBullet"/>
        <w:ind w:left="360" w:hanging="360"/>
      </w:pPr>
      <w:r>
        <w:rPr>
          <w:rFonts w:ascii="Calibri" w:hAnsi="Calibri"/>
          <w:b/>
          <w:color w:val="525866"/>
          <w:sz w:val="22"/>
        </w:rPr>
        <w:t xml:space="preserve">IEEPA Tariff Refunds: </w:t>
      </w:r>
      <w:r>
        <w:rPr>
          <w:rFonts w:ascii="Calibri" w:hAnsi="Calibri"/>
          <w:color w:val="525866"/>
          <w:sz w:val="22"/>
        </w:rPr>
        <w:t>Can management provide more detail on the $35–$50M full-year IEEPA refund? Is this a one-time item, and how should investors think about the tariff environment for 2027?</w:t>
      </w:r>
    </w:p>
    <w:p>
      <w:pPr>
        <w:pStyle w:val="ListBullet"/>
        <w:ind w:left="360" w:hanging="360"/>
      </w:pPr>
      <w:r>
        <w:rPr>
          <w:rFonts w:ascii="Calibri" w:hAnsi="Calibri"/>
          <w:b/>
          <w:color w:val="525866"/>
          <w:sz w:val="22"/>
        </w:rPr>
        <w:t xml:space="preserve">CFO Transition: </w:t>
      </w:r>
      <w:r>
        <w:rPr>
          <w:rFonts w:ascii="Calibri" w:hAnsi="Calibri"/>
          <w:color w:val="525866"/>
          <w:sz w:val="22"/>
        </w:rPr>
        <w:t>Was Nick Brazis's departure related to the guidance miss? What is the timeline for finding a permanent CFO, and how does the transition affect financial reporting and investor confidence?</w:t>
      </w:r>
    </w:p>
    <w:p>
      <w:pPr>
        <w:pStyle w:val="ListBullet"/>
        <w:ind w:left="360" w:hanging="360"/>
      </w:pPr>
      <w:r>
        <w:rPr>
          <w:rFonts w:ascii="Calibri" w:hAnsi="Calibri"/>
          <w:b/>
          <w:color w:val="525866"/>
          <w:sz w:val="22"/>
        </w:rPr>
        <w:t xml:space="preserve">Flow &amp; Water Solutions: </w:t>
      </w:r>
      <w:r>
        <w:rPr>
          <w:rFonts w:ascii="Calibri" w:hAnsi="Calibri"/>
          <w:color w:val="525866"/>
          <w:sz w:val="22"/>
        </w:rPr>
        <w:t>Can management provide more granularity on Flow and Water Solutions performance in Q2? Are these segments truly tracking in-line with prior guidance, and what is the H2 2026 outlook for each?</w:t>
      </w:r>
    </w:p>
    <w:p>
      <w:pPr>
        <w:pStyle w:val="ListBullet"/>
        <w:ind w:left="360" w:hanging="360"/>
      </w:pPr>
      <w:r>
        <w:rPr>
          <w:rFonts w:ascii="Calibri" w:hAnsi="Calibri"/>
          <w:b/>
          <w:color w:val="525866"/>
          <w:sz w:val="22"/>
        </w:rPr>
        <w:t xml:space="preserve">Transformation Program: </w:t>
      </w:r>
      <w:r>
        <w:rPr>
          <w:rFonts w:ascii="Calibri" w:hAnsi="Calibri"/>
          <w:color w:val="525866"/>
          <w:sz w:val="22"/>
        </w:rPr>
        <w:t>Is the $70M net productivity savings target for 2026 still intact? How is the 80/20 program progressing, and does the pool volume decline affect the transformation savings trajectory?</w:t>
      </w:r>
    </w:p>
    <w:p>
      <w:pPr>
        <w:pStyle w:val="ListBullet"/>
        <w:ind w:left="360" w:hanging="360"/>
      </w:pPr>
      <w:r>
        <w:rPr>
          <w:rFonts w:ascii="Calibri" w:hAnsi="Calibri"/>
          <w:b/>
          <w:color w:val="525866"/>
          <w:sz w:val="22"/>
        </w:rPr>
        <w:t xml:space="preserve">Capital Allocation: </w:t>
      </w:r>
      <w:r>
        <w:rPr>
          <w:rFonts w:ascii="Calibri" w:hAnsi="Calibri"/>
          <w:color w:val="525866"/>
          <w:sz w:val="22"/>
        </w:rPr>
        <w:t>PNR repurchased $150M of shares in Q2 despite the guidance cut. Is the buyback pace sustainable given the revised earnings outlook? What is the priority between buybacks, dividends (Dividend King status), and M&amp;A?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