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ppg-earnings-predictions--2026-07-28"/>
    <w:p>
      <w:pPr>
        <w:pStyle w:val="Heading1"/>
      </w:pPr>
      <w:r>
        <w:t xml:space="preserve">PPG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~$2.30 vs. cons $2.25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Net sales (revenue)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~$4.38B vs. cons $4.36B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Segment adj. EBITDA margin (price/cost proof)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~19.3% vs. cons ~19.4%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</w:t>
            </w:r>
            <m:oMath>
              <m:r>
                <m:t>7.70</m:t>
              </m:r>
              <m:r>
                <m:rPr>
                  <m:sty m:val="p"/>
                </m:rPr>
                <m:t>−</m:t>
              </m:r>
            </m:oMath>
            <w:r>
              <w:t xml:space="preserve">8.10 (mid ~$7.90) vs. cons $7.90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adj. EPS guide (organic/price-cost tone)</w:t>
            </w:r>
          </w:p>
        </w:tc>
        <w:tc>
          <w:tcPr/>
          <w:p>
            <w:pPr>
              <w:pStyle w:val="Compact"/>
            </w:pPr>
            <w:r>
              <w:t xml:space="preserve">UNKNOWN</w:t>
            </w:r>
          </w:p>
        </w:tc>
        <w:tc>
          <w:tcPr/>
          <w:p>
            <w:pPr>
              <w:pStyle w:val="Compact"/>
            </w:pPr>
            <w:r>
              <w:t xml:space="preserve">guide ~$2.15 vs. cons $2.16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Refinish H2 volume inflection commentary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return to volume growth ~+low-single-digit vs. cons ~flat (H2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-1.5%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PPG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-2.5% (FADE)</w:t>
            </w:r>
          </w:p>
        </w:tc>
        <w:tc>
          <w:tcPr/>
          <w:p>
            <w:pPr>
              <w:pStyle w:val="Compact"/>
            </w:pPr>
            <w:r>
              <w:t xml:space="preserve">Likely a modest EPS beat aided by a fading FX tailwind and price, but the swing factor is guidance: a reaffirm (not a raise) of</w:t>
            </w:r>
            <w:r>
              <w:t xml:space="preserve"> </w:t>
            </w:r>
            <m:oMath>
              <m:r>
                <m:t>7.70</m:t>
              </m:r>
              <m:r>
                <m:rPr>
                  <m:sty m:val="p"/>
                </m:rPr>
                <m:t>−</m:t>
              </m:r>
            </m:oMath>
            <w:r>
              <w:t xml:space="preserve">8.10 despite management's own 'upside' callouts repeats the post-Q1 pattern (stock fell ~2.8% on a beat). With the stock back near February highs (~$118.50, +14% YTD) and having outrun peers off the March low, the bar is high. Out-period math is unfavorable — a flat FY reaffirm plus mid-single-digit COGS inflation risk implies limited H2 upside, so estimates drift lower even after a beat, driving a day-1 dip and continued fade over the week absent a clean guidance raise.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2026-07-28T01:39:03Z</dcterms:created>
  <dcterms:modified xsi:type="dcterms:W3CDTF">2026-07-28T01:39:03Z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