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PPG Industries ahead of their earnings. Let me gather recent filings, transcripts, and news.Let me read the most recent earnings materials and check for recent news.Now let me get the year-ago Q2 comparison, recent stock price, and analyst expectations.Let me check for recent PPG news and analyst expectations via web search.Let me get the Alphastreet preview and the Yahoo "what to expect" article for consensus details.I have everything I need. Let me write the preview.</w:t>
      </w:r>
    </w:p>
    <w:bookmarkStart w:id="22" w:name="Xa14825a14ef6ca6b162969dfdd4f0acf1188419"/>
    <w:p>
      <w:pPr>
        <w:pStyle w:val="Heading1"/>
      </w:pPr>
      <w:r>
        <w:t xml:space="preserve">PPG Industries (NYSE: PPG) — Q2 2026 Earnings Preview</w:t>
      </w:r>
    </w:p>
    <w:bookmarkStart w:id="9" w:name="X6732526bb7ded48ce944438ba40a045b31ee469"/>
    <w:p>
      <w:pPr>
        <w:pStyle w:val="Heading3"/>
      </w:pPr>
      <w:r>
        <w:t xml:space="preserve">Reports after the close Tuesday, July 28, 2026 | Conference call Wednesday, July 29</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PPG heads into Q2 with Wall Street looking for roughly flat-to-slightly-up earnings, a first earnings call under a new CFO, and one dominant debate:</w:t>
      </w:r>
      <w:r>
        <w:t xml:space="preserve"> </w:t>
      </w:r>
      <w:r>
        <w:rPr>
          <w:b/>
          <w:bCs/>
        </w:rPr>
        <w:t xml:space="preserve">can PPG out-price a fresh raw-material inflation spike (triggered by the Iran conflict) fast enough to protect margins while its self-help and share-gain story keeps compounding?</w:t>
      </w:r>
      <w:r>
        <w:t xml:space="preserve"> </w:t>
      </w:r>
      <w:r>
        <w:t xml:space="preserve">Management framed Q2 as a transition quarter, with the real payoff — refinish recovery, industrial share gains, aerospace ramp, European cost-out — landing in the second half.</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2026E (consensus)</w:t>
            </w:r>
          </w:p>
        </w:tc>
        <w:tc>
          <w:tcPr/>
          <w:p>
            <w:pPr>
              <w:pStyle w:val="Compact"/>
            </w:pPr>
            <w:r>
              <w:t xml:space="preserve">Q2 2025 actual</w:t>
            </w:r>
          </w:p>
        </w:tc>
        <w:tc>
          <w:tcPr/>
          <w:p>
            <w:pPr>
              <w:pStyle w:val="Compact"/>
            </w:pPr>
            <w:r>
              <w:t xml:space="preserve">Implied Y/Y</w:t>
            </w:r>
          </w:p>
        </w:tc>
      </w:tr>
      <w:tr>
        <w:tc>
          <w:tcPr/>
          <w:p>
            <w:pPr>
              <w:pStyle w:val="Compact"/>
            </w:pPr>
            <w:r>
              <w:t xml:space="preserve">Adjusted EPS</w:t>
            </w:r>
          </w:p>
        </w:tc>
        <w:tc>
          <w:tcPr/>
          <w:p>
            <w:pPr>
              <w:pStyle w:val="Compact"/>
            </w:pPr>
            <w:r>
              <w:t xml:space="preserve">~$2.25 (18–23 analysts)</w:t>
            </w:r>
          </w:p>
        </w:tc>
        <w:tc>
          <w:tcPr/>
          <w:p>
            <w:pPr>
              <w:pStyle w:val="Compact"/>
            </w:pPr>
            <w:r>
              <w:t xml:space="preserve">$2.22</w:t>
            </w:r>
          </w:p>
        </w:tc>
        <w:tc>
          <w:tcPr/>
          <w:p>
            <w:pPr>
              <w:pStyle w:val="Compact"/>
            </w:pPr>
            <w:r>
              <w:t xml:space="preserve">+1.4%</w:t>
            </w:r>
          </w:p>
        </w:tc>
      </w:tr>
      <w:tr>
        <w:tc>
          <w:tcPr/>
          <w:p>
            <w:pPr>
              <w:pStyle w:val="Compact"/>
            </w:pPr>
            <w:r>
              <w:t xml:space="preserve">Revenue</w:t>
            </w:r>
          </w:p>
        </w:tc>
        <w:tc>
          <w:tcPr/>
          <w:p>
            <w:pPr>
              <w:pStyle w:val="Compact"/>
            </w:pPr>
            <w:r>
              <w:t xml:space="preserve">~$4.36B</w:t>
            </w:r>
          </w:p>
        </w:tc>
        <w:tc>
          <w:tcPr/>
          <w:p>
            <w:pPr>
              <w:pStyle w:val="Compact"/>
            </w:pPr>
            <w:r>
              <w:t xml:space="preserve">$4.195B</w:t>
            </w:r>
          </w:p>
        </w:tc>
        <w:tc>
          <w:tcPr/>
          <w:p>
            <w:pPr>
              <w:pStyle w:val="Compact"/>
            </w:pPr>
            <w:r>
              <w:t xml:space="preserve">+3.8%</w:t>
            </w:r>
          </w:p>
        </w:tc>
      </w:tr>
      <w:tr>
        <w:tc>
          <w:tcPr/>
          <w:p>
            <w:pPr>
              <w:pStyle w:val="Compact"/>
            </w:pPr>
            <w:r>
              <w:t xml:space="preserve">FY26 adj. EPS guide</w:t>
            </w:r>
          </w:p>
        </w:tc>
        <w:tc>
          <w:tcPr/>
          <w:p>
            <w:pPr>
              <w:pStyle w:val="Compact"/>
            </w:pPr>
            <m:oMath>
              <m:r>
                <m:t>7.70</m:t>
              </m:r>
              <m:r>
                <m:rPr>
                  <m:sty m:val="p"/>
                </m:rPr>
                <m:t>–</m:t>
              </m:r>
            </m:oMath>
            <w:r>
              <w:t xml:space="preserve">8.10 (reaffirmed)</w:t>
            </w:r>
          </w:p>
        </w:tc>
        <w:tc>
          <w:tcPr/>
          <w:p>
            <w:pPr>
              <w:pStyle w:val="Compact"/>
            </w:pPr>
            <w:r>
              <w:t xml:space="preserve">FY25:</w:t>
            </w:r>
            <w:r>
              <w:t xml:space="preserve"> </w:t>
            </w:r>
            <m:oMath>
              <m:r>
                <m:t>7.75</m:t>
              </m:r>
              <m:r>
                <m:rPr>
                  <m:sty m:val="p"/>
                </m:rPr>
                <m:t>–</m:t>
              </m:r>
            </m:oMath>
            <w:r>
              <w:t xml:space="preserve">8.05</w:t>
            </w:r>
          </w:p>
        </w:tc>
        <w:tc>
          <w:tcPr/>
          <w:p>
            <w:pPr>
              <w:pStyle w:val="Compact"/>
            </w:pPr>
            <w:r>
              <w:t xml:space="preserve">—</w:t>
            </w:r>
          </w:p>
        </w:tc>
      </w:tr>
    </w:tbl>
    <w:p>
      <w:pPr>
        <w:pStyle w:val="Compact"/>
        <w:numPr>
          <w:ilvl w:val="0"/>
          <w:numId w:val="1001"/>
        </w:numPr>
      </w:pPr>
      <w:r>
        <w:t xml:space="preserve">Consensus (~$2.25) sits right at the top of management's own Q2 guide of</w:t>
      </w:r>
      <w:r>
        <w:t xml:space="preserve"> </w:t>
      </w:r>
      <w:r>
        <w:rPr>
          <w:b/>
          <w:bCs/>
        </w:rPr>
        <w:t xml:space="preserve">"flat to low-single-digit growth"</w:t>
      </w:r>
      <w:r>
        <w:t xml:space="preserve"> </w:t>
      </w:r>
      <w:r>
        <w:t xml:space="preserve">off the $2.22 base — so the bar is set to roughly last year's number.</w:t>
      </w:r>
    </w:p>
    <w:p>
      <w:pPr>
        <w:pStyle w:val="Compact"/>
        <w:numPr>
          <w:ilvl w:val="0"/>
          <w:numId w:val="1001"/>
        </w:numPr>
      </w:pPr>
      <w:r>
        <w:t xml:space="preserve">PPG has beaten or met the bottom line in</w:t>
      </w:r>
      <w:r>
        <w:t xml:space="preserve"> </w:t>
      </w:r>
      <w:r>
        <w:rPr>
          <w:b/>
          <w:bCs/>
        </w:rPr>
        <w:t xml:space="preserve">three of the last four quarters</w:t>
      </w:r>
      <w:r>
        <w:t xml:space="preserve"> </w:t>
      </w:r>
      <w:r>
        <w:t xml:space="preserve">(Q1 came in at</w:t>
      </w:r>
      <w:r>
        <w:t xml:space="preserve"> </w:t>
      </w:r>
      <m:oMath>
        <m:r>
          <m:t>1.83</m:t>
        </m:r>
        <m:r>
          <m:t>v</m:t>
        </m:r>
        <m:r>
          <m:t>s</m:t>
        </m:r>
        <m:r>
          <m:rPr>
            <m:sty m:val="p"/>
          </m:rPr>
          <m:t>.</m:t>
        </m:r>
        <m:r>
          <m:t> </m:t>
        </m:r>
      </m:oMath>
      <w:r>
        <w:t xml:space="preserve">1.78 consensus), so a modest beat would be consistent with the recent pattern — but note the stock</w:t>
      </w:r>
      <w:r>
        <w:t xml:space="preserve"> </w:t>
      </w:r>
      <w:r>
        <w:rPr>
          <w:i/>
          <w:iCs/>
        </w:rPr>
        <w:t xml:space="preserve">fell</w:t>
      </w:r>
      <w:r>
        <w:t xml:space="preserve"> </w:t>
      </w:r>
      <w:r>
        <w:t xml:space="preserve">~2.8% after the Q1 beat because the market focused on the soft forward guide and cost pressure.</w:t>
      </w:r>
    </w:p>
    <w:p>
      <w:r>
        <w:pict>
          <v:rect style="width:0;height:1.5pt" o:hralign="center" o:hrstd="t" o:hr="t"/>
        </w:pict>
      </w:r>
    </w:p>
    <w:bookmarkEnd w:id="11"/>
    <w:bookmarkStart w:id="12" w:name="q1-2026-recap-the-jumping-off-point"/>
    <w:p>
      <w:pPr>
        <w:pStyle w:val="Heading2"/>
      </w:pPr>
      <w:r>
        <w:t xml:space="preserve">Q1 2026 recap (the jumping-off point)</w:t>
      </w:r>
    </w:p>
    <w:p>
      <w:pPr>
        <w:pStyle w:val="Compact"/>
        <w:numPr>
          <w:ilvl w:val="0"/>
          <w:numId w:val="1002"/>
        </w:numPr>
      </w:pPr>
      <w:r>
        <w:rPr>
          <w:b/>
          <w:bCs/>
        </w:rPr>
        <w:t xml:space="preserve">Net sales $3.93B, +7% Y/Y</w:t>
      </w:r>
      <w:r>
        <w:t xml:space="preserve">; organic +1% (fifth straight quarter of organic growth), driven entirely by price. FX was a ~6% tailwind.</w:t>
      </w:r>
    </w:p>
    <w:p>
      <w:pPr>
        <w:pStyle w:val="Compact"/>
        <w:numPr>
          <w:ilvl w:val="0"/>
          <w:numId w:val="1002"/>
        </w:numPr>
      </w:pPr>
      <w:r>
        <w:rPr>
          <w:b/>
          <w:bCs/>
        </w:rPr>
        <w:t xml:space="preserve">Adjusted EPS $1.83, +6% Y/Y.</w:t>
      </w:r>
      <w:r>
        <w:t xml:space="preserve"> </w:t>
      </w:r>
      <w:r>
        <w:t xml:space="preserve">Segment EBITDA margin ~19.2%.</w:t>
      </w:r>
    </w:p>
    <w:p>
      <w:pPr>
        <w:pStyle w:val="Compact"/>
        <w:numPr>
          <w:ilvl w:val="0"/>
          <w:numId w:val="1002"/>
        </w:numPr>
      </w:pPr>
      <w:r>
        <w:t xml:space="preserve">Segment scorecard: Architectural income</w:t>
      </w:r>
      <w:r>
        <w:t xml:space="preserve"> </w:t>
      </w:r>
      <w:r>
        <w:rPr>
          <w:b/>
          <w:bCs/>
        </w:rPr>
        <w:t xml:space="preserve">+31%</w:t>
      </w:r>
      <w:r>
        <w:t xml:space="preserve"> </w:t>
      </w:r>
      <w:r>
        <w:t xml:space="preserve">(Latin America/Mexico strength, +230 bps margin); Performance +5% (aerospace double-digit, refinish down double-digit as expected);</w:t>
      </w:r>
      <w:r>
        <w:t xml:space="preserve"> </w:t>
      </w:r>
      <w:r>
        <w:rPr>
          <w:b/>
          <w:bCs/>
        </w:rPr>
        <w:t xml:space="preserve">Industrial income −10%</w:t>
      </w:r>
      <w:r>
        <w:t xml:space="preserve"> </w:t>
      </w:r>
      <w:r>
        <w:t xml:space="preserve">(China auto mix + index-contract price roll-off hurt margins by ~180 bps).</w:t>
      </w:r>
    </w:p>
    <w:p>
      <w:pPr>
        <w:pStyle w:val="Compact"/>
        <w:numPr>
          <w:ilvl w:val="0"/>
          <w:numId w:val="1002"/>
        </w:numPr>
      </w:pPr>
      <w:r>
        <w:t xml:space="preserve">Reaffirmed the FY26</w:t>
      </w:r>
      <w:r>
        <w:t xml:space="preserve"> </w:t>
      </w:r>
      <m:oMath>
        <m:r>
          <m:t>7.70</m:t>
        </m:r>
        <m:r>
          <m:rPr>
            <m:sty m:val="p"/>
          </m:rPr>
          <m:t>–</m:t>
        </m:r>
      </m:oMath>
      <w:r>
        <w:t xml:space="preserve">8.10 range.</w:t>
      </w:r>
    </w:p>
    <w:p>
      <w:r>
        <w:pict>
          <v:rect style="width:0;height:1.5pt" o:hralign="center" o:hrstd="t" o:hr="t"/>
        </w:pict>
      </w:r>
    </w:p>
    <w:bookmarkEnd w:id="12"/>
    <w:bookmarkStart w:id="18" w:name="the-five-things-that-will-move-the-stock"/>
    <w:p>
      <w:pPr>
        <w:pStyle w:val="Heading2"/>
      </w:pPr>
      <w:r>
        <w:t xml:space="preserve">The five things that will move the stock</w:t>
      </w:r>
    </w:p>
    <w:bookmarkStart w:id="13" w:name="Xbb909e15f9f7b1974c2c8169cc672e9c9c5e86d"/>
    <w:p>
      <w:pPr>
        <w:pStyle w:val="Heading3"/>
      </w:pPr>
      <w:r>
        <w:t xml:space="preserve">1. Price/cost — the central margin question</w:t>
      </w:r>
    </w:p>
    <w:p>
      <w:pPr>
        <w:pStyle w:val="FirstParagraph"/>
      </w:pPr>
      <w:r>
        <w:t xml:space="preserve">On the Q1 call, management flagged that the Iran conflict pushed up costs for</w:t>
      </w:r>
      <w:r>
        <w:t xml:space="preserve"> </w:t>
      </w:r>
      <w:r>
        <w:rPr>
          <w:b/>
          <w:bCs/>
        </w:rPr>
        <w:t xml:space="preserve">raw materials, energy, logistics and packaging</w:t>
      </w:r>
      <w:r>
        <w:t xml:space="preserve">, guiding to a</w:t>
      </w:r>
      <w:r>
        <w:t xml:space="preserve"> </w:t>
      </w:r>
      <w:r>
        <w:rPr>
          <w:b/>
          <w:bCs/>
        </w:rPr>
        <w:t xml:space="preserve">mid-single-digit% increase in COGS</w:t>
      </w:r>
      <w:r>
        <w:t xml:space="preserve"> </w:t>
      </w:r>
      <w:r>
        <w:t xml:space="preserve">for the rest of the year. In response, PPG publicly</w:t>
      </w:r>
      <w:r>
        <w:t xml:space="preserve"> </w:t>
      </w:r>
      <w:r>
        <w:rPr>
          <w:b/>
          <w:bCs/>
        </w:rPr>
        <w:t xml:space="preserve">announced global price increases of up to 20%</w:t>
      </w:r>
      <w:r>
        <w:t xml:space="preserve"> </w:t>
      </w:r>
      <w:r>
        <w:t xml:space="preserve">(mid-April) and said it only needs</w:t>
      </w:r>
      <w:r>
        <w:t xml:space="preserve"> </w:t>
      </w:r>
      <w:r>
        <w:rPr>
          <w:b/>
          <w:bCs/>
        </w:rPr>
        <w:t xml:space="preserve">low-single-digit realized pricing</w:t>
      </w:r>
      <w:r>
        <w:t xml:space="preserve"> </w:t>
      </w:r>
      <w:r>
        <w:t xml:space="preserve">to fully offset the mid-single-digit COGS hit.</w:t>
      </w:r>
    </w:p>
    <w:p>
      <w:pPr>
        <w:pStyle w:val="Compact"/>
        <w:numPr>
          <w:ilvl w:val="0"/>
          <w:numId w:val="1003"/>
        </w:numPr>
      </w:pPr>
      <w:r>
        <w:t xml:space="preserve">Management's confident claim: price/cost neutrality in</w:t>
      </w:r>
      <w:r>
        <w:t xml:space="preserve"> </w:t>
      </w:r>
      <w:r>
        <w:rPr>
          <w:b/>
          <w:bCs/>
        </w:rPr>
        <w:t xml:space="preserve">"months," not the ~1 year (2021 cycle) or ~1.5 years (2017–18 cycle)</w:t>
      </w:r>
      <w:r>
        <w:t xml:space="preserve"> </w:t>
      </w:r>
      <w:r>
        <w:t xml:space="preserve">it took before — thanks to a stronger pricing "muscle" plus organic momentum that should let it hold volume while pushing price.</w:t>
      </w:r>
    </w:p>
    <w:p>
      <w:pPr>
        <w:pStyle w:val="Compact"/>
        <w:numPr>
          <w:ilvl w:val="0"/>
          <w:numId w:val="1003"/>
        </w:numPr>
      </w:pPr>
      <w:r>
        <w:rPr>
          <w:b/>
          <w:bCs/>
        </w:rPr>
        <w:t xml:space="preserve">Watch:</w:t>
      </w:r>
      <w:r>
        <w:t xml:space="preserve"> </w:t>
      </w:r>
      <w:r>
        <w:t xml:space="preserve">the realized price number by segment. Architectural and Performance should show it first; Industrial lags (index contracts). Any sign that price is lagging cost — or that volume is being sacrificed to get price — would pressure the stock.</w:t>
      </w:r>
    </w:p>
    <w:bookmarkEnd w:id="13"/>
    <w:bookmarkStart w:id="14" w:name="Xa0a6eac7df18fdc1b66fc04979879c6438c2f4f"/>
    <w:p>
      <w:pPr>
        <w:pStyle w:val="Heading3"/>
      </w:pPr>
      <w:r>
        <w:t xml:space="preserve">2. Automotive refinish inflection</w:t>
      </w:r>
    </w:p>
    <w:p>
      <w:pPr>
        <w:pStyle w:val="FirstParagraph"/>
      </w:pPr>
      <w:r>
        <w:t xml:space="preserve">Refinish was guided to be</w:t>
      </w:r>
      <w:r>
        <w:t xml:space="preserve"> </w:t>
      </w:r>
      <w:r>
        <w:rPr>
          <w:b/>
          <w:bCs/>
        </w:rPr>
        <w:t xml:space="preserve">down a double-digit %</w:t>
      </w:r>
      <w:r>
        <w:t xml:space="preserve"> </w:t>
      </w:r>
      <w:r>
        <w:t xml:space="preserve">in Q2 (lapping unusually strong H1'25 distributor stocking), then</w:t>
      </w:r>
      <w:r>
        <w:t xml:space="preserve"> </w:t>
      </w:r>
      <w:r>
        <w:rPr>
          <w:b/>
          <w:bCs/>
        </w:rPr>
        <w:t xml:space="preserve">turn to volume growth in H2</w:t>
      </w:r>
      <w:r>
        <w:t xml:space="preserve">. Management said U.S. collision-claims trends are normalizing (down ~1% Y/Y in Feb/Mar vs. high-single/double-digit declines through most of 2025) and distributor fulfillment orders are improving — "a little earlier than we expected." Because this is a high-margin business, the H2 snapback is a key earnings lever.</w:t>
      </w:r>
      <w:r>
        <w:t xml:space="preserve"> </w:t>
      </w:r>
      <w:r>
        <w:rPr>
          <w:b/>
          <w:bCs/>
        </w:rPr>
        <w:t xml:space="preserve">Watch for confirmation the inflection is on track</w:t>
      </w:r>
      <w:r>
        <w:t xml:space="preserve"> </w:t>
      </w:r>
      <w:r>
        <w:t xml:space="preserve">and for the expected strong operating leverage.</w:t>
      </w:r>
    </w:p>
    <w:bookmarkEnd w:id="14"/>
    <w:bookmarkStart w:id="15" w:name="Xc3572fc0a032bccac1d2f1a3346b565faab635d"/>
    <w:p>
      <w:pPr>
        <w:pStyle w:val="Heading3"/>
      </w:pPr>
      <w:r>
        <w:t xml:space="preserve">3. Aerospace — the crown jewel</w:t>
      </w:r>
    </w:p>
    <w:p>
      <w:pPr>
        <w:pStyle w:val="FirstParagraph"/>
      </w:pPr>
      <w:r>
        <w:t xml:space="preserve">Aerospace posted double-digit organic growth in Q1 with backlog steady at</w:t>
      </w:r>
      <w:r>
        <w:t xml:space="preserve"> </w:t>
      </w:r>
      <w:r>
        <w:rPr>
          <w:b/>
          <w:bCs/>
        </w:rPr>
        <w:t xml:space="preserve">~</w:t>
      </w:r>
      <m:oMath>
        <m:r>
          <m:t>315</m:t>
        </m:r>
        <m:r>
          <m:t>M</m:t>
        </m:r>
        <m:r>
          <m:rPr>
            <m:sty m:val="p"/>
          </m:rPr>
          <m:t>*</m:t>
        </m:r>
        <m:r>
          <m:rPr>
            <m:sty m:val="p"/>
          </m:rPr>
          <m:t>*</m:t>
        </m:r>
        <m:r>
          <m:t>d</m:t>
        </m:r>
        <m:r>
          <m:t>e</m:t>
        </m:r>
        <m:r>
          <m:t>s</m:t>
        </m:r>
        <m:r>
          <m:t>p</m:t>
        </m:r>
        <m:r>
          <m:t>i</m:t>
        </m:r>
        <m:r>
          <m:t>t</m:t>
        </m:r>
        <m:r>
          <m:t>e</m:t>
        </m:r>
        <m:r>
          <m:t>h</m:t>
        </m:r>
        <m:r>
          <m:t>i</m:t>
        </m:r>
        <m:r>
          <m:t>g</m:t>
        </m:r>
        <m:r>
          <m:t>h</m:t>
        </m:r>
        <m:r>
          <m:t>e</m:t>
        </m:r>
        <m:r>
          <m:t>r</m:t>
        </m:r>
        <m:r>
          <m:t>o</m:t>
        </m:r>
        <m:r>
          <m:t>u</m:t>
        </m:r>
        <m:r>
          <m:t>t</m:t>
        </m:r>
        <m:r>
          <m:t>p</m:t>
        </m:r>
        <m:r>
          <m:t>u</m:t>
        </m:r>
        <m:r>
          <m:t>t</m:t>
        </m:r>
        <m:r>
          <m:rPr>
            <m:sty m:val="p"/>
          </m:rPr>
          <m:t>;</m:t>
        </m:r>
        <m:r>
          <m:t>P</m:t>
        </m:r>
        <m:r>
          <m:t>P</m:t>
        </m:r>
        <m:r>
          <m:t>G</m:t>
        </m:r>
        <m:r>
          <m:t>i</m:t>
        </m:r>
        <m:r>
          <m:t>s</m:t>
        </m:r>
        <m:r>
          <m:t>e</m:t>
        </m:r>
        <m:r>
          <m:t>f</m:t>
        </m:r>
        <m:r>
          <m:t>f</m:t>
        </m:r>
        <m:r>
          <m:t>e</m:t>
        </m:r>
        <m:r>
          <m:t>c</m:t>
        </m:r>
        <m:r>
          <m:t>t</m:t>
        </m:r>
        <m:r>
          <m:t>i</m:t>
        </m:r>
        <m:r>
          <m:t>v</m:t>
        </m:r>
        <m:r>
          <m:t>e</m:t>
        </m:r>
        <m:r>
          <m:t>l</m:t>
        </m:r>
        <m:r>
          <m:t>y</m:t>
        </m:r>
        <m:r>
          <m:rPr>
            <m:sty m:val="p"/>
          </m:rPr>
          <m:t>*</m:t>
        </m:r>
        <m:r>
          <m:rPr>
            <m:sty m:val="p"/>
          </m:rPr>
          <m:t>*</m:t>
        </m:r>
        <m:r>
          <m:t>s</m:t>
        </m:r>
        <m:r>
          <m:t>o</m:t>
        </m:r>
        <m:r>
          <m:t>l</m:t>
        </m:r>
        <m:r>
          <m:t>d</m:t>
        </m:r>
        <m:r>
          <m:t>o</m:t>
        </m:r>
        <m:r>
          <m:t>u</m:t>
        </m:r>
        <m:r>
          <m:t>t</m:t>
        </m:r>
        <m:r>
          <m:rPr>
            <m:sty m:val="p"/>
          </m:rPr>
          <m:t>*</m:t>
        </m:r>
        <m:r>
          <m:rPr>
            <m:sty m:val="p"/>
          </m:rPr>
          <m:t>*</m:t>
        </m:r>
        <m:r>
          <m:rPr>
            <m:sty m:val="p"/>
          </m:rPr>
          <m:t>,</m:t>
        </m:r>
        <m:r>
          <m:t>s</m:t>
        </m:r>
        <m:r>
          <m:t>o</m:t>
        </m:r>
        <m:r>
          <m:t>e</m:t>
        </m:r>
        <m:r>
          <m:t>v</m:t>
        </m:r>
        <m:r>
          <m:t>e</m:t>
        </m:r>
        <m:r>
          <m:t>r</m:t>
        </m:r>
        <m:r>
          <m:t>y</m:t>
        </m:r>
        <m:r>
          <m:t>i</m:t>
        </m:r>
        <m:r>
          <m:t>n</m:t>
        </m:r>
        <m:r>
          <m:t>c</m:t>
        </m:r>
        <m:r>
          <m:t>r</m:t>
        </m:r>
        <m:r>
          <m:t>e</m:t>
        </m:r>
        <m:r>
          <m:t>m</m:t>
        </m:r>
        <m:r>
          <m:t>e</m:t>
        </m:r>
        <m:r>
          <m:t>n</m:t>
        </m:r>
        <m:r>
          <m:t>t</m:t>
        </m:r>
        <m:r>
          <m:t>a</m:t>
        </m:r>
        <m:r>
          <m:t>l</m:t>
        </m:r>
        <m:r>
          <m:t>u</m:t>
        </m:r>
        <m:r>
          <m:t>n</m:t>
        </m:r>
        <m:r>
          <m:t>i</m:t>
        </m:r>
        <m:r>
          <m:t>t</m:t>
        </m:r>
        <m:r>
          <m:t>o</m:t>
        </m:r>
        <m:r>
          <m:t>f</m:t>
        </m:r>
        <m:r>
          <m:t>c</m:t>
        </m:r>
        <m:r>
          <m:t>a</m:t>
        </m:r>
        <m:r>
          <m:t>p</m:t>
        </m:r>
        <m:r>
          <m:t>a</m:t>
        </m:r>
        <m:r>
          <m:t>c</m:t>
        </m:r>
        <m:r>
          <m:t>i</m:t>
        </m:r>
        <m:r>
          <m:t>t</m:t>
        </m:r>
        <m:r>
          <m:t>y</m:t>
        </m:r>
        <m:r>
          <m:t>c</m:t>
        </m:r>
        <m:r>
          <m:t>o</m:t>
        </m:r>
        <m:r>
          <m:t>n</m:t>
        </m:r>
        <m:r>
          <m:t>v</m:t>
        </m:r>
        <m:r>
          <m:t>e</m:t>
        </m:r>
        <m:r>
          <m:t>r</m:t>
        </m:r>
        <m:r>
          <m:t>t</m:t>
        </m:r>
        <m:r>
          <m:t>s</m:t>
        </m:r>
        <m:r>
          <m:t>t</m:t>
        </m:r>
        <m:r>
          <m:t>o</m:t>
        </m:r>
        <m:r>
          <m:t>r</m:t>
        </m:r>
        <m:r>
          <m:t>e</m:t>
        </m:r>
        <m:r>
          <m:t>v</m:t>
        </m:r>
        <m:r>
          <m:t>e</m:t>
        </m:r>
        <m:r>
          <m:t>n</m:t>
        </m:r>
        <m:r>
          <m:t>u</m:t>
        </m:r>
        <m:r>
          <m:t>e</m:t>
        </m:r>
        <m:r>
          <m:rPr>
            <m:sty m:val="p"/>
          </m:rPr>
          <m:t>.</m:t>
        </m:r>
        <m:r>
          <m:t>C</m:t>
        </m:r>
        <m:r>
          <m:t>a</m:t>
        </m:r>
        <m:r>
          <m:t>p</m:t>
        </m:r>
        <m:r>
          <m:t>e</m:t>
        </m:r>
        <m:r>
          <m:t>x</m:t>
        </m:r>
        <m:r>
          <m:t>i</m:t>
        </m:r>
        <m:r>
          <m:t>s</m:t>
        </m:r>
        <m:r>
          <m:t>g</m:t>
        </m:r>
        <m:r>
          <m:t>o</m:t>
        </m:r>
        <m:r>
          <m:t>i</m:t>
        </m:r>
        <m:r>
          <m:t>n</m:t>
        </m:r>
        <m:r>
          <m:t>g</m:t>
        </m:r>
        <m:r>
          <m:t>i</m:t>
        </m:r>
        <m:r>
          <m:t>n</m:t>
        </m:r>
        <m:r>
          <m:rPr>
            <m:sty m:val="p"/>
          </m:rPr>
          <m:t>(</m:t>
        </m:r>
      </m:oMath>
      <w:r>
        <w:rPr>
          <w:b/>
          <w:bCs/>
        </w:rPr>
        <w:t xml:space="preserve">150M of debottlenecking already, a new **~$380M plant targeted for ~2028</w:t>
      </w:r>
      <w:r>
        <w:t xml:space="preserve">). Management explicitly said potential Iran-driven flight-hour softness would have</w:t>
      </w:r>
      <w:r>
        <w:t xml:space="preserve"> </w:t>
      </w:r>
      <w:r>
        <w:rPr>
          <w:b/>
          <w:bCs/>
        </w:rPr>
        <w:t xml:space="preserve">no 2026 impact</w:t>
      </w:r>
      <w:r>
        <w:t xml:space="preserve"> </w:t>
      </w:r>
      <w:r>
        <w:t xml:space="preserve">given the 50/50 OEM-aftermarket split and depleted aftermarket inventories.</w:t>
      </w:r>
      <w:r>
        <w:t xml:space="preserve"> </w:t>
      </w:r>
      <w:r>
        <w:rPr>
          <w:b/>
          <w:bCs/>
        </w:rPr>
        <w:t xml:space="preserve">Watch:</w:t>
      </w:r>
      <w:r>
        <w:t xml:space="preserve"> </w:t>
      </w:r>
      <w:r>
        <w:t xml:space="preserve">output/backlog trajectory and any raised aerospace growth commentary — this is the highest-conviction part of the story.</w:t>
      </w:r>
    </w:p>
    <w:bookmarkEnd w:id="15"/>
    <w:bookmarkStart w:id="16" w:name="Xc02d1afc87181ebe82e518f21d96747a95101bc"/>
    <w:p>
      <w:pPr>
        <w:pStyle w:val="Heading3"/>
      </w:pPr>
      <w:r>
        <w:t xml:space="preserve">4. Industrial margins &amp; China auto</w:t>
      </w:r>
    </w:p>
    <w:p>
      <w:pPr>
        <w:pStyle w:val="FirstParagraph"/>
      </w:pPr>
      <w:r>
        <w:t xml:space="preserve">Q1 Industrial margin fell on China auto mix (China production was weak vs. a very strong Q1'25 comp) and residual</w:t>
      </w:r>
      <w:r>
        <w:t xml:space="preserve"> </w:t>
      </w:r>
      <w:r>
        <w:rPr>
          <w:b/>
          <w:bCs/>
        </w:rPr>
        <w:t xml:space="preserve">index-contract price deflation</w:t>
      </w:r>
      <w:r>
        <w:t xml:space="preserve"> </w:t>
      </w:r>
      <w:r>
        <w:t xml:space="preserve">rolling off (auto + packaging), which management said should</w:t>
      </w:r>
      <w:r>
        <w:t xml:space="preserve"> </w:t>
      </w:r>
      <w:r>
        <w:rPr>
          <w:b/>
          <w:bCs/>
        </w:rPr>
        <w:t xml:space="preserve">wrap up in Q2</w:t>
      </w:r>
      <w:r>
        <w:t xml:space="preserve">. Packaging remains a standout (+double-digit organic, +20% on a 2-year stack from share gains).</w:t>
      </w:r>
      <w:r>
        <w:t xml:space="preserve"> </w:t>
      </w:r>
      <w:r>
        <w:rPr>
          <w:b/>
          <w:bCs/>
        </w:rPr>
        <w:t xml:space="preserve">Watch for the promised sequential margin recovery</w:t>
      </w:r>
      <w:r>
        <w:t xml:space="preserve"> </w:t>
      </w:r>
      <w:r>
        <w:t xml:space="preserve">and confirmation the index headwind is now behind them.</w:t>
      </w:r>
    </w:p>
    <w:bookmarkEnd w:id="16"/>
    <w:bookmarkStart w:id="17" w:name="Xe64a31b28c7874f7ffc25440c042e3a5ddc6c44"/>
    <w:p>
      <w:pPr>
        <w:pStyle w:val="Heading3"/>
      </w:pPr>
      <w:r>
        <w:t xml:space="preserve">5. Europe architectural restructuring / self-help</w:t>
      </w:r>
    </w:p>
    <w:p>
      <w:pPr>
        <w:pStyle w:val="FirstParagraph"/>
      </w:pPr>
      <w:r>
        <w:t xml:space="preserve">PPG is closing</w:t>
      </w:r>
      <w:r>
        <w:t xml:space="preserve"> </w:t>
      </w:r>
      <w:r>
        <w:rPr>
          <w:b/>
          <w:bCs/>
        </w:rPr>
        <w:t xml:space="preserve">4 European architectural plants in H2 2026</w:t>
      </w:r>
      <w:r>
        <w:t xml:space="preserve"> </w:t>
      </w:r>
      <w:r>
        <w:t xml:space="preserve">(~</w:t>
      </w:r>
      <m:oMath>
        <m:r>
          <m:t>25</m:t>
        </m:r>
        <m:r>
          <m:t>M</m:t>
        </m:r>
        <m:r>
          <m:t>o</m:t>
        </m:r>
        <m:r>
          <m:t>f</m:t>
        </m:r>
        <m:r>
          <m:t>a</m:t>
        </m:r>
        <m:r>
          <m:t>n</m:t>
        </m:r>
        <m:r>
          <m:t>n</m:t>
        </m:r>
        <m:r>
          <m:t>u</m:t>
        </m:r>
        <m:r>
          <m:t>a</m:t>
        </m:r>
        <m:r>
          <m:t>l</m:t>
        </m:r>
        <m:r>
          <m:t>i</m:t>
        </m:r>
        <m:r>
          <m:t>z</m:t>
        </m:r>
        <m:r>
          <m:t>e</m:t>
        </m:r>
        <m:r>
          <m:t>d</m:t>
        </m:r>
        <m:r>
          <m:t>f</m:t>
        </m:r>
        <m:r>
          <m:t>i</m:t>
        </m:r>
        <m:r>
          <m:t>x</m:t>
        </m:r>
        <m:r>
          <m:t>e</m:t>
        </m:r>
        <m:r>
          <m:t>d</m:t>
        </m:r>
        <m:r>
          <m:rPr>
            <m:sty m:val="p"/>
          </m:rPr>
          <m:t>−</m:t>
        </m:r>
        <m:r>
          <m:t>c</m:t>
        </m:r>
        <m:r>
          <m:t>o</m:t>
        </m:r>
        <m:r>
          <m:t>s</m:t>
        </m:r>
        <m:r>
          <m:t>t</m:t>
        </m:r>
        <m:r>
          <m:t>s</m:t>
        </m:r>
        <m:r>
          <m:t>a</m:t>
        </m:r>
        <m:r>
          <m:t>v</m:t>
        </m:r>
        <m:r>
          <m:t>i</m:t>
        </m:r>
        <m:r>
          <m:t>n</m:t>
        </m:r>
        <m:r>
          <m:t>g</m:t>
        </m:r>
        <m:r>
          <m:t>s</m:t>
        </m:r>
        <m:r>
          <m:t>s</m:t>
        </m:r>
        <m:r>
          <m:t>t</m:t>
        </m:r>
        <m:r>
          <m:t>a</m:t>
        </m:r>
        <m:r>
          <m:t>r</m:t>
        </m:r>
        <m:r>
          <m:t>t</m:t>
        </m:r>
        <m:r>
          <m:t>i</m:t>
        </m:r>
        <m:r>
          <m:t>n</m:t>
        </m:r>
        <m:r>
          <m:t>g</m:t>
        </m:r>
        <m:r>
          <m:t>2027</m:t>
        </m:r>
        <m:r>
          <m:rPr>
            <m:sty m:val="p"/>
          </m:rPr>
          <m:t>)</m:t>
        </m:r>
        <m:r>
          <m:rPr>
            <m:sty m:val="p"/>
          </m:rPr>
          <m:t>,</m:t>
        </m:r>
        <m:r>
          <m:t>p</m:t>
        </m:r>
        <m:r>
          <m:t>a</m:t>
        </m:r>
        <m:r>
          <m:t>r</m:t>
        </m:r>
        <m:r>
          <m:t>t</m:t>
        </m:r>
        <m:r>
          <m:t>o</m:t>
        </m:r>
        <m:r>
          <m:t>f</m:t>
        </m:r>
        <m:r>
          <m:t> </m:t>
        </m:r>
      </m:oMath>
      <w:r>
        <w:t xml:space="preserve">50M of structural benefit this year and another ~$50M next year. The strategy is explicitly to make the business a cash/earnings engine "at flat volume" rather than betting on a European recovery.</w:t>
      </w:r>
      <w:r>
        <w:t xml:space="preserve"> </w:t>
      </w:r>
      <w:r>
        <w:rPr>
          <w:b/>
          <w:bCs/>
        </w:rPr>
        <w:t xml:space="preserve">Watch:</w:t>
      </w:r>
      <w:r>
        <w:t xml:space="preserve"> </w:t>
      </w:r>
      <w:r>
        <w:t xml:space="preserve">self-help pacing and whether European volumes are stabilizing (management noted a better March).</w:t>
      </w:r>
    </w:p>
    <w:p>
      <w:r>
        <w:pict>
          <v:rect style="width:0;height:1.5pt" o:hralign="center" o:hrstd="t" o:hr="t"/>
        </w:pict>
      </w:r>
    </w:p>
    <w:bookmarkEnd w:id="17"/>
    <w:bookmarkEnd w:id="18"/>
    <w:bookmarkStart w:id="19" w:name="other-things-to-know"/>
    <w:p>
      <w:pPr>
        <w:pStyle w:val="Heading2"/>
      </w:pPr>
      <w:r>
        <w:t xml:space="preserve">Other things to know</w:t>
      </w:r>
    </w:p>
    <w:p>
      <w:pPr>
        <w:pStyle w:val="Compact"/>
        <w:numPr>
          <w:ilvl w:val="0"/>
          <w:numId w:val="1004"/>
        </w:numPr>
      </w:pPr>
      <w:r>
        <w:rPr>
          <w:b/>
          <w:bCs/>
        </w:rPr>
        <w:t xml:space="preserve">New CFO, first call:</w:t>
      </w:r>
      <w:r>
        <w:t xml:space="preserve"> </w:t>
      </w:r>
      <w:r>
        <w:t xml:space="preserve">This is</w:t>
      </w:r>
      <w:r>
        <w:t xml:space="preserve"> </w:t>
      </w:r>
      <w:r>
        <w:rPr>
          <w:b/>
          <w:bCs/>
        </w:rPr>
        <w:t xml:space="preserve">Jamie Beggs'</w:t>
      </w:r>
      <w:r>
        <w:t xml:space="preserve"> </w:t>
      </w:r>
      <w:r>
        <w:t xml:space="preserve">debut as CFO; long-time CFO Vince Morales retired after the Q1 call (40+ years). Watch for any subtle shift in tone, guidance philosophy, or capital-allocation framing.</w:t>
      </w:r>
    </w:p>
    <w:p>
      <w:pPr>
        <w:pStyle w:val="Compact"/>
        <w:numPr>
          <w:ilvl w:val="0"/>
          <w:numId w:val="1004"/>
        </w:numPr>
      </w:pPr>
      <w:r>
        <w:rPr>
          <w:b/>
          <w:bCs/>
        </w:rPr>
        <w:t xml:space="preserve">Guidance is the swing factor:</w:t>
      </w:r>
      <w:r>
        <w:t xml:space="preserve"> </w:t>
      </w:r>
      <w:r>
        <w:t xml:space="preserve">With the FY range reaffirmed in April and management flagging</w:t>
      </w:r>
      <w:r>
        <w:t xml:space="preserve"> </w:t>
      </w:r>
      <w:r>
        <w:rPr>
          <w:i/>
          <w:iCs/>
        </w:rPr>
        <w:t xml:space="preserve">upside</w:t>
      </w:r>
      <w:r>
        <w:t xml:space="preserve"> </w:t>
      </w:r>
      <w:r>
        <w:t xml:space="preserve">areas (aerospace, Mexico, faster refinish recovery), the debate is whether Q2 brings a raise/narrowing of the</w:t>
      </w:r>
      <w:r>
        <w:t xml:space="preserve"> </w:t>
      </w:r>
      <m:oMath>
        <m:r>
          <m:t>7.70</m:t>
        </m:r>
        <m:r>
          <m:rPr>
            <m:sty m:val="p"/>
          </m:rPr>
          <m:t>–</m:t>
        </m:r>
      </m:oMath>
      <w:r>
        <w:t xml:space="preserve">8.10 range. A raise would be a clear positive; a mere reaffirmation despite the noted upside could disappoint.</w:t>
      </w:r>
    </w:p>
    <w:p>
      <w:pPr>
        <w:pStyle w:val="Compact"/>
        <w:numPr>
          <w:ilvl w:val="0"/>
          <w:numId w:val="1004"/>
        </w:numPr>
      </w:pPr>
      <w:r>
        <w:rPr>
          <w:b/>
          <w:bCs/>
        </w:rPr>
        <w:t xml:space="preserve">FX turning less helpful:</w:t>
      </w:r>
      <w:r>
        <w:t xml:space="preserve"> </w:t>
      </w:r>
      <w:r>
        <w:t xml:space="preserve">Management guided the remaining-year FX benefit to less than half of Q1's (&lt;$0.10), concentrated in Q2 — so FX should be a small Q2 tailwind, then fade.</w:t>
      </w:r>
    </w:p>
    <w:p>
      <w:pPr>
        <w:pStyle w:val="Compact"/>
        <w:numPr>
          <w:ilvl w:val="0"/>
          <w:numId w:val="1004"/>
        </w:numPr>
      </w:pPr>
      <w:r>
        <w:rPr>
          <w:b/>
          <w:bCs/>
        </w:rPr>
        <w:t xml:space="preserve">Capital returns:</w:t>
      </w:r>
      <w:r>
        <w:t xml:space="preserve"> </w:t>
      </w:r>
      <w:r>
        <w:t xml:space="preserve">~10 consecutive quarters of buybacks (~</w:t>
      </w:r>
      <m:oMath>
        <m:r>
          <m:t>100</m:t>
        </m:r>
        <m:r>
          <m:t>M</m:t>
        </m:r>
        <m:r>
          <m:t>i</m:t>
        </m:r>
        <m:r>
          <m:t>n</m:t>
        </m:r>
        <m:r>
          <m:t>Q</m:t>
        </m:r>
        <m:r>
          <m:t>1</m:t>
        </m:r>
        <m:r>
          <m:rPr>
            <m:sty m:val="p"/>
          </m:rPr>
          <m:t>,</m:t>
        </m:r>
        <m:r>
          <m:t> </m:t>
        </m:r>
      </m:oMath>
      <w:r>
        <w:t xml:space="preserve">260M total returned incl. dividend). Balance sheet solid — net debt ~</w:t>
      </w:r>
      <m:oMath>
        <m:r>
          <m:t>5.5</m:t>
        </m:r>
        <m:r>
          <m:t>B</m:t>
        </m:r>
        <m:r>
          <m:rPr>
            <m:sty m:val="p"/>
          </m:rPr>
          <m:t>,</m:t>
        </m:r>
        <m:r>
          <m:t> </m:t>
        </m:r>
      </m:oMath>
      <w:r>
        <w:t xml:space="preserve">1.6B cash; $700M of debt repaid in Q1. Target: free cash flow ~10% of sales. M&amp;A remains disciplined/bolt-on (recent small deals: Ozark in Traffic Solutions, Allied Products).</w:t>
      </w:r>
    </w:p>
    <w:p>
      <w:pPr>
        <w:pStyle w:val="Compact"/>
        <w:numPr>
          <w:ilvl w:val="0"/>
          <w:numId w:val="1004"/>
        </w:numPr>
      </w:pPr>
      <w:r>
        <w:rPr>
          <w:b/>
          <w:bCs/>
        </w:rPr>
        <w:t xml:space="preserve">Working capital watch:</w:t>
      </w:r>
      <w:r>
        <w:t xml:space="preserve"> </w:t>
      </w:r>
      <w:r>
        <w:t xml:space="preserve">Operating working capital ticked up to ~20% of sales (from ~17.6% at YE), worth monitoring given the price-increase/inventory dynamics.</w:t>
      </w:r>
    </w:p>
    <w:p>
      <w:r>
        <w:pict>
          <v:rect style="width:0;height:1.5pt" o:hralign="center" o:hrstd="t" o:hr="t"/>
        </w:pict>
      </w:r>
    </w:p>
    <w:bookmarkEnd w:id="19"/>
    <w:bookmarkStart w:id="20" w:name="stock-context"/>
    <w:p>
      <w:pPr>
        <w:pStyle w:val="Heading2"/>
      </w:pPr>
      <w:r>
        <w:t xml:space="preserve">Stock context</w:t>
      </w:r>
    </w:p>
    <w:p>
      <w:pPr>
        <w:pStyle w:val="FirstParagraph"/>
      </w:pPr>
      <w:r>
        <w:t xml:space="preserve">PPG closed at **</w:t>
      </w:r>
      <m:oMath>
        <m:r>
          <m:t>118.50</m:t>
        </m:r>
        <m:r>
          <m:t>o</m:t>
        </m:r>
        <m:r>
          <m:t>n</m:t>
        </m:r>
        <m:r>
          <m:t>7</m:t>
        </m:r>
        <m:r>
          <m:rPr>
            <m:sty m:val="p"/>
          </m:rPr>
          <m:t>/</m:t>
        </m:r>
        <m:r>
          <m:t>27</m:t>
        </m:r>
        <m:r>
          <m:rPr>
            <m:sty m:val="p"/>
          </m:rPr>
          <m:t>*</m:t>
        </m:r>
        <m:r>
          <m:rPr>
            <m:sty m:val="p"/>
          </m:rPr>
          <m:t>*</m:t>
        </m:r>
        <m:r>
          <m:rPr>
            <m:sty m:val="p"/>
          </m:rPr>
          <m:t>,</m:t>
        </m:r>
        <m:r>
          <m:t>u</m:t>
        </m:r>
        <m:r>
          <m:t>p</m:t>
        </m:r>
        <m:r>
          <m:t> </m:t>
        </m:r>
        <m:r>
          <m:t>14</m:t>
        </m:r>
      </m:oMath>
      <w:r>
        <w:t xml:space="preserve">104. Shares have been volatile in 2026 — peaking near</w:t>
      </w:r>
      <w:r>
        <w:t xml:space="preserve"> </w:t>
      </w:r>
      <m:oMath>
        <m:r>
          <m:t>132</m:t>
        </m:r>
        <m:r>
          <m:t>i</m:t>
        </m:r>
        <m:r>
          <m:t>n</m:t>
        </m:r>
        <m:r>
          <m:t>m</m:t>
        </m:r>
        <m:r>
          <m:t>i</m:t>
        </m:r>
        <m:r>
          <m:t>d</m:t>
        </m:r>
        <m:r>
          <m:rPr>
            <m:sty m:val="p"/>
          </m:rPr>
          <m:t>−</m:t>
        </m:r>
        <m:r>
          <m:t>F</m:t>
        </m:r>
        <m:r>
          <m:t>e</m:t>
        </m:r>
        <m:r>
          <m:t>b</m:t>
        </m:r>
        <m:r>
          <m:t>r</m:t>
        </m:r>
        <m:r>
          <m:t>u</m:t>
        </m:r>
        <m:r>
          <m:t>a</m:t>
        </m:r>
        <m:r>
          <m:t>r</m:t>
        </m:r>
        <m:r>
          <m:t>y</m:t>
        </m:r>
        <m:r>
          <m:rPr>
            <m:sty m:val="p"/>
          </m:rPr>
          <m:t>*</m:t>
        </m:r>
        <m:r>
          <m:rPr>
            <m:sty m:val="p"/>
          </m:rPr>
          <m:t>*</m:t>
        </m:r>
        <m:r>
          <m:rPr>
            <m:sty m:val="p"/>
          </m:rPr>
          <m:t>,</m:t>
        </m:r>
        <m:r>
          <m:t>b</m:t>
        </m:r>
        <m:r>
          <m:t>o</m:t>
        </m:r>
        <m:r>
          <m:t>t</m:t>
        </m:r>
        <m:r>
          <m:t>t</m:t>
        </m:r>
        <m:r>
          <m:t>o</m:t>
        </m:r>
        <m:r>
          <m:t>m</m:t>
        </m:r>
        <m:r>
          <m:t>i</m:t>
        </m:r>
        <m:r>
          <m:t>n</m:t>
        </m:r>
        <m:r>
          <m:t>g</m:t>
        </m:r>
        <m:r>
          <m:t>a</m:t>
        </m:r>
        <m:r>
          <m:t>r</m:t>
        </m:r>
        <m:r>
          <m:t>o</m:t>
        </m:r>
        <m:r>
          <m:t>u</m:t>
        </m:r>
        <m:r>
          <m:t>n</m:t>
        </m:r>
        <m:r>
          <m:t>d</m:t>
        </m:r>
        <m:r>
          <m:rPr>
            <m:sty m:val="p"/>
          </m:rPr>
          <m:t>*</m:t>
        </m:r>
        <m:r>
          <m:rPr>
            <m:sty m:val="p"/>
          </m:rPr>
          <m:t>*</m:t>
        </m:r>
      </m:oMath>
      <w:r>
        <w:rPr>
          <w:b/>
          <w:bCs/>
        </w:rPr>
        <w:t xml:space="preserve">97 in late March</w:t>
      </w:r>
      <w:r>
        <w:t xml:space="preserve"> </w:t>
      </w:r>
      <w:r>
        <w:t xml:space="preserve">(macro/tariff-driven derisking), then grinding back toward the highs. The stock has notably</w:t>
      </w:r>
      <w:r>
        <w:t xml:space="preserve"> </w:t>
      </w:r>
      <w:r>
        <w:rPr>
          <w:b/>
          <w:bCs/>
        </w:rPr>
        <w:t xml:space="preserve">underperformed peer Sherwin-Williams' recovery</w:t>
      </w:r>
      <w:r>
        <w:t xml:space="preserve"> </w:t>
      </w:r>
      <w:r>
        <w:t xml:space="preserve">off the March lows. Sell-side is</w:t>
      </w:r>
      <w:r>
        <w:t xml:space="preserve"> </w:t>
      </w:r>
      <w:r>
        <w:rPr>
          <w:b/>
          <w:bCs/>
        </w:rPr>
        <w:t xml:space="preserve">"Moderate Buy"</w:t>
      </w:r>
      <w:r>
        <w:t xml:space="preserve"> </w:t>
      </w:r>
      <w:r>
        <w:t xml:space="preserve">with an average target around</w:t>
      </w:r>
      <w:r>
        <w:t xml:space="preserve"> </w:t>
      </w:r>
      <w:r>
        <w:rPr>
          <w:b/>
          <w:bCs/>
        </w:rPr>
        <w:t xml:space="preserve">$125–126</w:t>
      </w:r>
      <w:r>
        <w:t xml:space="preserve"> </w:t>
      </w:r>
      <w:r>
        <w:t xml:space="preserve">(~5–8% upside), i.e., the Street sees PPG as a reasonable-but-not-screaming value into the print.</w:t>
      </w:r>
    </w:p>
    <w:p>
      <w:r>
        <w:pict>
          <v:rect style="width:0;height:1.5pt" o:hralign="center" o:hrstd="t" o:hr="t"/>
        </w:pict>
      </w:r>
    </w:p>
    <w:bookmarkEnd w:id="20"/>
    <w:bookmarkStart w:id="21" w:name="bottom-line--how-to-read-the-report"/>
    <w:p>
      <w:pPr>
        <w:pStyle w:val="Heading2"/>
      </w:pPr>
      <w:r>
        <w:t xml:space="preserve">Bottom line — how to read the report</w:t>
      </w:r>
    </w:p>
    <w:p>
      <w:pPr>
        <w:pStyle w:val="FirstParagraph"/>
      </w:pPr>
      <w:r>
        <w:t xml:space="preserve">The quarter itself is expected to be roughly flat Y/Y and is largely pre-baked;</w:t>
      </w:r>
      <w:r>
        <w:t xml:space="preserve"> </w:t>
      </w:r>
      <w:r>
        <w:rPr>
          <w:b/>
          <w:bCs/>
        </w:rPr>
        <w:t xml:space="preserve">the report is about the forward narrative</w:t>
      </w:r>
      <w:r>
        <w:t xml:space="preserve">:</w:t>
      </w:r>
    </w:p>
    <w:p>
      <w:pPr>
        <w:pStyle w:val="Compact"/>
        <w:numPr>
          <w:ilvl w:val="0"/>
          <w:numId w:val="1005"/>
        </w:numPr>
      </w:pPr>
      <w:r>
        <w:rPr>
          <w:b/>
          <w:bCs/>
        </w:rPr>
        <w:t xml:space="preserve">Price/cost proof points</w:t>
      </w:r>
      <w:r>
        <w:t xml:space="preserve"> </w:t>
      </w:r>
      <w:r>
        <w:t xml:space="preserve">— is the "faster this time" pricing playbook actually showing up in realized price and margin?</w:t>
      </w:r>
    </w:p>
    <w:p>
      <w:pPr>
        <w:pStyle w:val="Compact"/>
        <w:numPr>
          <w:ilvl w:val="0"/>
          <w:numId w:val="1005"/>
        </w:numPr>
      </w:pPr>
      <w:r>
        <w:rPr>
          <w:b/>
          <w:bCs/>
        </w:rPr>
        <w:t xml:space="preserve">H2 credibility</w:t>
      </w:r>
      <w:r>
        <w:t xml:space="preserve"> </w:t>
      </w:r>
      <w:r>
        <w:t xml:space="preserve">— refinish inflection, industrial margin recovery, aerospace ramp, and European cost-out all need to stay on track to defend (or raise) the</w:t>
      </w:r>
      <w:r>
        <w:t xml:space="preserve"> </w:t>
      </w:r>
      <m:oMath>
        <m:r>
          <m:t>7.70</m:t>
        </m:r>
        <m:r>
          <m:rPr>
            <m:sty m:val="p"/>
          </m:rPr>
          <m:t>–</m:t>
        </m:r>
      </m:oMath>
      <w:r>
        <w:t xml:space="preserve">8.10 guide.</w:t>
      </w:r>
    </w:p>
    <w:p>
      <w:pPr>
        <w:pStyle w:val="Compact"/>
        <w:numPr>
          <w:ilvl w:val="0"/>
          <w:numId w:val="1005"/>
        </w:numPr>
      </w:pPr>
      <w:r>
        <w:rPr>
          <w:b/>
          <w:bCs/>
        </w:rPr>
        <w:t xml:space="preserve">The guidance decision</w:t>
      </w:r>
      <w:r>
        <w:t xml:space="preserve"> </w:t>
      </w:r>
      <w:r>
        <w:t xml:space="preserve">— a raise validates the bull case; a flat reaffirm despite management's own "upside" callouts risks a repeat of the post-Q1 fade.</w:t>
      </w:r>
    </w:p>
    <w:p>
      <w:pPr>
        <w:pStyle w:val="FirstParagraph"/>
      </w:pPr>
      <w:r>
        <w:t xml:space="preserve">A clean print + raised/tightened-higher guidance under the new CFO would likely be well received given the stock sits below its February highs; conversely, any evidence that inflation is running ahead of price, or that H2 tailwinds are slipping, is the key downside risk.</w:t>
      </w:r>
    </w:p>
    <w:p>
      <w:pPr>
        <w:pStyle w:val="BodyText"/>
      </w:pPr>
      <w:r>
        <w:rPr>
          <w:i/>
          <w:iCs/>
        </w:rPr>
        <w:t xml:space="preserve">(Note: your prompt lists the event date as 2026-07-28; PPG's release is after the close 7/28 with the call the morning of 7/29.)</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2026-07-28T01:39:03Z</dcterms:created>
  <dcterms:modified xsi:type="dcterms:W3CDTF">2026-07-28T01:39:03Z</dcterms:modified>
</cp:coreProperties>
</file>

<file path=docProps/custom.xml><?xml version="1.0" encoding="utf-8"?>
<Properties xmlns="http://schemas.openxmlformats.org/officeDocument/2006/custom-properties" xmlns:vt="http://schemas.openxmlformats.org/officeDocument/2006/docPropsVTypes"/>
</file>