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ppg-earnings-predictions--2026-07-28"/>
    <w:p>
      <w:pPr>
        <w:pStyle w:val="Heading1"/>
      </w:pPr>
      <w:r>
        <w:t xml:space="preserve">PPG Earnings Predictions — 2026-07-28</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PPG</w:t>
            </w:r>
          </w:p>
        </w:tc>
        <w:tc>
          <w:tcPr/>
          <w:p>
            <w:pPr>
              <w:pStyle w:val="Compact"/>
            </w:pPr>
            <w:r>
              <w:t xml:space="preserve">Report</w:t>
            </w:r>
          </w:p>
        </w:tc>
        <w:tc>
          <w:tcPr/>
          <w:p>
            <w:pPr>
              <w:pStyle w:val="Compact"/>
            </w:pPr>
            <w:r>
              <w:t xml:space="preserve">Adjusted EPS (Q2 2026)</w:t>
            </w:r>
          </w:p>
        </w:tc>
        <w:tc>
          <w:tcPr/>
          <w:p>
            <w:pPr>
              <w:pStyle w:val="Compact"/>
            </w:pPr>
            <w:r>
              <w:t xml:space="preserve">MISS</w:t>
            </w:r>
          </w:p>
        </w:tc>
        <w:tc>
          <w:tcPr/>
          <w:p>
            <w:pPr>
              <w:pStyle w:val="Compact"/>
            </w:pPr>
            <w:r>
              <w:t xml:space="preserve">pred ~$2.19 vs. cons $2.25</w:t>
            </w:r>
          </w:p>
        </w:tc>
        <w:tc>
          <w:tcPr/>
          <w:p>
            <w:pPr>
              <w:pStyle w:val="Compact"/>
            </w:pPr>
            <w:r>
              <w:t xml:space="preserve">MEDIUM</w:t>
            </w:r>
          </w:p>
        </w:tc>
      </w:tr>
      <w:tr>
        <w:tc>
          <w:tcPr/>
          <w:p>
            <w:pPr>
              <w:pStyle w:val="Compact"/>
            </w:pPr>
            <w:r>
              <w:t xml:space="preserve">PPG</w:t>
            </w:r>
          </w:p>
        </w:tc>
        <w:tc>
          <w:tcPr/>
          <w:p>
            <w:pPr>
              <w:pStyle w:val="Compact"/>
            </w:pPr>
            <w:r>
              <w:t xml:space="preserve">Report</w:t>
            </w:r>
          </w:p>
        </w:tc>
        <w:tc>
          <w:tcPr/>
          <w:p>
            <w:pPr>
              <w:pStyle w:val="Compact"/>
            </w:pPr>
            <w:r>
              <w:t xml:space="preserve">Total Revenue (Q2 2026)</w:t>
            </w:r>
          </w:p>
        </w:tc>
        <w:tc>
          <w:tcPr/>
          <w:p>
            <w:pPr>
              <w:pStyle w:val="Compact"/>
            </w:pPr>
            <w:r>
              <w:t xml:space="preserve">IN-LINE</w:t>
            </w:r>
          </w:p>
        </w:tc>
        <w:tc>
          <w:tcPr/>
          <w:p>
            <w:pPr>
              <w:pStyle w:val="Compact"/>
            </w:pPr>
            <w:r>
              <w:t xml:space="preserve">pred ~$4.32B vs. cons $4.36B</w:t>
            </w:r>
          </w:p>
        </w:tc>
        <w:tc>
          <w:tcPr/>
          <w:p>
            <w:pPr>
              <w:pStyle w:val="Compact"/>
            </w:pPr>
            <w:r>
              <w:t xml:space="preserve">MEDIUM</w:t>
            </w:r>
          </w:p>
        </w:tc>
      </w:tr>
      <w:tr>
        <w:tc>
          <w:tcPr/>
          <w:p>
            <w:pPr>
              <w:pStyle w:val="Compact"/>
            </w:pPr>
            <w:r>
              <w:t xml:space="preserve">PPG</w:t>
            </w:r>
          </w:p>
        </w:tc>
        <w:tc>
          <w:tcPr/>
          <w:p>
            <w:pPr>
              <w:pStyle w:val="Compact"/>
            </w:pPr>
            <w:r>
              <w:t xml:space="preserve">Report</w:t>
            </w:r>
          </w:p>
        </w:tc>
        <w:tc>
          <w:tcPr/>
          <w:p>
            <w:pPr>
              <w:pStyle w:val="Compact"/>
            </w:pPr>
            <w:r>
              <w:t xml:space="preserve">Industrial Coatings segment EBITDA margin</w:t>
            </w:r>
          </w:p>
        </w:tc>
        <w:tc>
          <w:tcPr/>
          <w:p>
            <w:pPr>
              <w:pStyle w:val="Compact"/>
            </w:pPr>
            <w:r>
              <w:t xml:space="preserve">MISS</w:t>
            </w:r>
          </w:p>
        </w:tc>
        <w:tc>
          <w:tcPr/>
          <w:p>
            <w:pPr>
              <w:pStyle w:val="Compact"/>
            </w:pPr>
            <w:r>
              <w:t xml:space="preserve">pred ~17.3% vs. cons 18.0%</w:t>
            </w:r>
          </w:p>
        </w:tc>
        <w:tc>
          <w:tcPr/>
          <w:p>
            <w:pPr>
              <w:pStyle w:val="Compact"/>
            </w:pPr>
            <w:r>
              <w:t xml:space="preserve">MEDIUM</w:t>
            </w:r>
          </w:p>
        </w:tc>
      </w:tr>
      <w:tr>
        <w:tc>
          <w:tcPr/>
          <w:p>
            <w:pPr>
              <w:pStyle w:val="Compact"/>
            </w:pPr>
            <w:r>
              <w:t xml:space="preserve">PPG</w:t>
            </w:r>
          </w:p>
        </w:tc>
        <w:tc>
          <w:tcPr/>
          <w:p>
            <w:pPr>
              <w:pStyle w:val="Compact"/>
            </w:pPr>
            <w:r>
              <w:t xml:space="preserve">Guide</w:t>
            </w:r>
          </w:p>
        </w:tc>
        <w:tc>
          <w:tcPr/>
          <w:p>
            <w:pPr>
              <w:pStyle w:val="Compact"/>
            </w:pPr>
            <w:r>
              <w:t xml:space="preserve">FY2026 Adjusted EPS guidance</w:t>
            </w:r>
          </w:p>
        </w:tc>
        <w:tc>
          <w:tcPr/>
          <w:p>
            <w:pPr>
              <w:pStyle w:val="Compact"/>
            </w:pPr>
            <w:r>
              <w:t xml:space="preserve">UNCHANGED</w:t>
            </w:r>
          </w:p>
        </w:tc>
        <w:tc>
          <w:tcPr/>
          <w:p>
            <w:pPr>
              <w:pStyle w:val="Compact"/>
            </w:pPr>
            <w:r>
              <w:t xml:space="preserve">guide ~</w:t>
            </w:r>
            <m:oMath>
              <m:r>
                <m:t>7.70</m:t>
              </m:r>
              <m:r>
                <m:rPr>
                  <m:sty m:val="p"/>
                </m:rPr>
                <m:t>−</m:t>
              </m:r>
            </m:oMath>
            <w:r>
              <w:t xml:space="preserve">8.10 (reaffirmed, midpoint ~$7.90) vs. cons $7.90 (FY2026)</w:t>
            </w:r>
          </w:p>
        </w:tc>
        <w:tc>
          <w:tcPr/>
          <w:p>
            <w:pPr>
              <w:pStyle w:val="Compact"/>
            </w:pPr>
            <w:r>
              <w:t xml:space="preserve">MEDIUM</w:t>
            </w:r>
          </w:p>
        </w:tc>
      </w:tr>
      <w:tr>
        <w:tc>
          <w:tcPr/>
          <w:p>
            <w:pPr>
              <w:pStyle w:val="Compact"/>
            </w:pPr>
            <w:r>
              <w:t xml:space="preserve">PPG</w:t>
            </w:r>
          </w:p>
        </w:tc>
        <w:tc>
          <w:tcPr/>
          <w:p>
            <w:pPr>
              <w:pStyle w:val="Compact"/>
            </w:pPr>
            <w:r>
              <w:t xml:space="preserve">Guide</w:t>
            </w:r>
          </w:p>
        </w:tc>
        <w:tc>
          <w:tcPr/>
          <w:p>
            <w:pPr>
              <w:pStyle w:val="Compact"/>
            </w:pPr>
            <w:r>
              <w:t xml:space="preserve">Q3 2026 organic sales growth guidance</w:t>
            </w:r>
          </w:p>
        </w:tc>
        <w:tc>
          <w:tcPr/>
          <w:p>
            <w:pPr>
              <w:pStyle w:val="Compact"/>
            </w:pPr>
            <w:r>
              <w:t xml:space="preserve">UNCHANGED</w:t>
            </w:r>
          </w:p>
        </w:tc>
        <w:tc>
          <w:tcPr/>
          <w:p>
            <w:pPr>
              <w:pStyle w:val="Compact"/>
            </w:pPr>
            <w:r>
              <w:t xml:space="preserve">guide ~1-2% vs. cons ~2% (Q3 2026)</w:t>
            </w:r>
          </w:p>
        </w:tc>
        <w:tc>
          <w:tcPr/>
          <w:p>
            <w:pPr>
              <w:pStyle w:val="Compact"/>
            </w:pPr>
            <w:r>
              <w:t xml:space="preserve">LOW</w:t>
            </w:r>
          </w:p>
        </w:tc>
      </w:tr>
      <w:tr>
        <w:tc>
          <w:tcPr/>
          <w:p>
            <w:pPr>
              <w:pStyle w:val="Compact"/>
            </w:pPr>
            <w:r>
              <w:t xml:space="preserve">PPG</w:t>
            </w:r>
          </w:p>
        </w:tc>
        <w:tc>
          <w:tcPr/>
          <w:p>
            <w:pPr>
              <w:pStyle w:val="Compact"/>
            </w:pPr>
            <w:r>
              <w:t xml:space="preserve">Guide</w:t>
            </w:r>
          </w:p>
        </w:tc>
        <w:tc>
          <w:tcPr/>
          <w:p>
            <w:pPr>
              <w:pStyle w:val="Compact"/>
            </w:pPr>
            <w:r>
              <w:t xml:space="preserve">H2 2026 raw material/COGS inflation commentary</w:t>
            </w:r>
          </w:p>
        </w:tc>
        <w:tc>
          <w:tcPr/>
          <w:p>
            <w:pPr>
              <w:pStyle w:val="Compact"/>
            </w:pPr>
            <w:r>
              <w:t xml:space="preserve">LOWER</w:t>
            </w:r>
          </w:p>
        </w:tc>
        <w:tc>
          <w:tcPr/>
          <w:p>
            <w:pPr>
              <w:pStyle w:val="Compact"/>
            </w:pPr>
            <w:r>
              <w:t xml:space="preserve">guide ~mid-single-digit (5%) COGS increase vs. cons ~3-4% embedded (H2 2026)</w:t>
            </w:r>
          </w:p>
        </w:tc>
        <w:tc>
          <w:tcPr/>
          <w:p>
            <w:pPr>
              <w:pStyle w:val="Compact"/>
            </w:pPr>
            <w:r>
              <w:t xml:space="preserve">MEDIUM</w:t>
            </w:r>
          </w:p>
        </w:tc>
      </w:tr>
      <w:tr>
        <w:tc>
          <w:tcPr/>
          <w:p>
            <w:pPr>
              <w:pStyle w:val="Compact"/>
            </w:pPr>
            <w:r>
              <w:t xml:space="preserve">PPG</w:t>
            </w:r>
          </w:p>
        </w:tc>
        <w:tc>
          <w:tcPr/>
          <w:p>
            <w:pPr>
              <w:pStyle w:val="Compact"/>
            </w:pPr>
            <w:r>
              <w:t xml:space="preserve">Return</w:t>
            </w:r>
          </w:p>
        </w:tc>
        <w:tc>
          <w:tcPr/>
          <w:p>
            <w:pPr>
              <w:pStyle w:val="Compact"/>
            </w:pPr>
            <w:r>
              <w:t xml:space="preserve">Day-1 residual (stock − beta × S&amp;P 500)</w:t>
            </w:r>
          </w:p>
        </w:tc>
        <w:tc>
          <w:tcPr/>
          <w:p>
            <w:pPr>
              <w:pStyle w:val="Compact"/>
            </w:pPr>
            <w:r>
              <w:t xml:space="preserve">-1.8%</w:t>
            </w:r>
          </w:p>
        </w:tc>
        <w:tc>
          <w:tcPr/>
          <w:p>
            <w:pPr>
              <w:pStyle w:val="Compact"/>
            </w:pPr>
            <w:r>
              <w:t xml:space="preserve">—</w:t>
            </w:r>
          </w:p>
        </w:tc>
        <w:tc>
          <w:tcPr/>
          <w:p>
            <w:pPr>
              <w:pStyle w:val="Compact"/>
            </w:pPr>
            <w:r>
              <w:t xml:space="preserve">MEDIUM</w:t>
            </w:r>
          </w:p>
        </w:tc>
      </w:tr>
      <w:tr>
        <w:tc>
          <w:tcPr/>
          <w:p>
            <w:pPr>
              <w:pStyle w:val="Compact"/>
            </w:pPr>
            <w:r>
              <w:t xml:space="preserve">PPG</w:t>
            </w:r>
          </w:p>
        </w:tc>
        <w:tc>
          <w:tcPr/>
          <w:p>
            <w:pPr>
              <w:pStyle w:val="Compact"/>
            </w:pPr>
            <w:r>
              <w:t xml:space="preserve">Return</w:t>
            </w:r>
          </w:p>
        </w:tc>
        <w:tc>
          <w:tcPr/>
          <w:p>
            <w:pPr>
              <w:pStyle w:val="Compact"/>
            </w:pPr>
            <w:r>
              <w:t xml:space="preserve">5-day cumulative residual</w:t>
            </w:r>
          </w:p>
        </w:tc>
        <w:tc>
          <w:tcPr/>
          <w:p>
            <w:pPr>
              <w:pStyle w:val="Compact"/>
            </w:pPr>
            <w:r>
              <w:t xml:space="preserve">-2.7% (FADE)</w:t>
            </w:r>
          </w:p>
        </w:tc>
        <w:tc>
          <w:tcPr/>
          <w:p>
            <w:pPr>
              <w:pStyle w:val="Compact"/>
            </w:pPr>
            <w:r>
              <w:t xml:space="preserve">Stock has already re-rated ~12% into the print on Buy ratings and rising price targets, raising the bar for a clean beat-and-raise. With EPS likely landing at or slightly below the low end of the tight</w:t>
            </w:r>
            <w:r>
              <w:t xml:space="preserve"> </w:t>
            </w:r>
            <m:oMath>
              <m:r>
                <m:t>2.20</m:t>
              </m:r>
              <m:r>
                <m:rPr>
                  <m:sty m:val="p"/>
                </m:rPr>
                <m:t>−</m:t>
              </m:r>
            </m:oMath>
            <w:r>
              <w:t xml:space="preserve">2.32 consensus range due to Iran-driven mid-single-digit raw material/logistics cost inflation outrunning price realization in the near term, and full-year guidance merely reaffirmed (not raised) given H1 run-rate tracking to the low end of</w:t>
            </w:r>
            <w:r>
              <w:t xml:space="preserve"> </w:t>
            </w:r>
            <m:oMath>
              <m:r>
                <m:t>7.70</m:t>
              </m:r>
              <m:r>
                <m:rPr>
                  <m:sty m:val="p"/>
                </m:rPr>
                <m:t>−</m:t>
              </m:r>
            </m:oMath>
            <w:r>
              <w:t xml:space="preserve">8.10, sell-side models will likely trim H2 estimates (implicit cuts to Industrial Coatings margin recovery timing and refinish snapback magnitude) even if headline Q2 numbers look adequate. This sets up an initial negative-to-flat reaction that fades further over the week as analysts digest the cost/price lag and reduce out-quarter numbers, consistent with a FADE pattern rather than follow-through.</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2026-07-28T01:40:27Z</dcterms:created>
  <dcterms:modified xsi:type="dcterms:W3CDTF">2026-07-28T01:40:27Z</dcterms:modified>
</cp:coreProperties>
</file>

<file path=docProps/custom.xml><?xml version="1.0" encoding="utf-8"?>
<Properties xmlns="http://schemas.openxmlformats.org/officeDocument/2006/custom-properties" xmlns:vt="http://schemas.openxmlformats.org/officeDocument/2006/docPropsVTypes"/>
</file>