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I have enough. Let me do one more check on segment-specific expectations (auto refinish recovery, China auto) and confirm full-year guidance figures precisely, then write the preview.I now have sufficient information to write a comprehensive earnings preview. Let me compile it.Now I have a well-rounded picture. Let me write the earnings preview.# PPG Industries (PPG) — Q2 2026 Earnings Preview</w:t>
      </w:r>
      <w:r>
        <w:t xml:space="preserve"> </w:t>
      </w:r>
      <w:r>
        <w:rPr>
          <w:b/>
          <w:bCs/>
        </w:rPr>
        <w:t xml:space="preserve">Reports: Tuesday, July 28, 2026 (call scheduled for the morning of July 29)</w:t>
      </w:r>
    </w:p>
    <w:bookmarkStart w:id="9" w:name="setting-the-scene"/>
    <w:p>
      <w:pPr>
        <w:pStyle w:val="Heading2"/>
      </w:pPr>
      <w:r>
        <w:t xml:space="preserve">Setting the Scene</w:t>
      </w:r>
    </w:p>
    <w:p>
      <w:pPr>
        <w:pStyle w:val="FirstParagraph"/>
      </w:pPr>
      <w:r>
        <w:t xml:space="preserve">PPG heads into tomorrow's print riding a strong stock rally — shares closed at</w:t>
      </w:r>
      <w:r>
        <w:t xml:space="preserve"> </w:t>
      </w:r>
      <m:oMath>
        <m:r>
          <m:t>118.50</m:t>
        </m:r>
        <m:r>
          <m:t>o</m:t>
        </m:r>
        <m:r>
          <m:t>n</m:t>
        </m:r>
        <m:r>
          <m:t>J</m:t>
        </m:r>
        <m:r>
          <m:t>u</m:t>
        </m:r>
        <m:r>
          <m:t>l</m:t>
        </m:r>
        <m:r>
          <m:t>y</m:t>
        </m:r>
        <m:r>
          <m:t>27</m:t>
        </m:r>
        <m:r>
          <m:rPr>
            <m:sty m:val="p"/>
          </m:rPr>
          <m:t>,</m:t>
        </m:r>
        <m:r>
          <m:t>u</m:t>
        </m:r>
        <m:r>
          <m:t>p</m:t>
        </m:r>
        <m:r>
          <m:t>r</m:t>
        </m:r>
        <m:r>
          <m:t>o</m:t>
        </m:r>
        <m:r>
          <m:t>u</m:t>
        </m:r>
        <m:r>
          <m:t>g</m:t>
        </m:r>
        <m:r>
          <m:t>h</m:t>
        </m:r>
        <m:r>
          <m:t>l</m:t>
        </m:r>
        <m:r>
          <m:t>y</m:t>
        </m:r>
        <m:r>
          <m:t>12</m:t>
        </m:r>
      </m:oMath>
      <w:r>
        <w:t xml:space="preserve">105-108 level where they traded immediately after the Q1 print in late April, and up sharply from the ~$102-106 range seen in early May. Sentiment has clearly improved: sell-side price targets have been moving higher into the print (UBS lifted its target to $130 from</w:t>
      </w:r>
      <w:r>
        <w:t xml:space="preserve"> </w:t>
      </w:r>
      <w:r>
        <w:t xml:space="preserve">$116), and the stock carries a consensus "Buy/Overweight" rating with an average target in the mid-$</w:t>
      </w:r>
      <w:r>
        <w:t xml:space="preserve">120s to low-$130s. Even so, the setup is not without tension — estimate revisions over the trailing 90 days have drifted modestly lower even as the one-month consensus has been stable, reflecting a "specialty chemicals environment [that] has presented headwinds" prompting some caution ahead of the report.</w:t>
      </w:r>
    </w:p>
    <w:bookmarkEnd w:id="9"/>
    <w:bookmarkStart w:id="10" w:name="what-wall-street-expects"/>
    <w:p>
      <w:pPr>
        <w:pStyle w:val="Heading2"/>
      </w:pPr>
      <w:r>
        <w:t xml:space="preserve">What Wall Street Expects</w:t>
      </w:r>
    </w:p>
    <w:p>
      <w:pPr>
        <w:pStyle w:val="Compact"/>
        <w:numPr>
          <w:ilvl w:val="0"/>
          <w:numId w:val="1001"/>
        </w:numPr>
      </w:pPr>
      <w:r>
        <w:rPr>
          <w:b/>
          <w:bCs/>
        </w:rPr>
        <w:t xml:space="preserve">Consensus EPS:</w:t>
      </w:r>
      <w:r>
        <w:t xml:space="preserve"> </w:t>
      </w:r>
      <w:r>
        <w:t xml:space="preserve">~$2.25 (range</w:t>
      </w:r>
      <w:r>
        <w:t xml:space="preserve"> </w:t>
      </w:r>
      <m:oMath>
        <m:r>
          <m:t>2.20</m:t>
        </m:r>
        <m:r>
          <m:rPr>
            <m:sty m:val="p"/>
          </m:rPr>
          <m:t>–</m:t>
        </m:r>
      </m:oMath>
      <w:r>
        <w:t xml:space="preserve">2.32), implying roughly 1.4% growth from the $2.22 PPG earned in Q2 2025.</w:t>
      </w:r>
    </w:p>
    <w:p>
      <w:pPr>
        <w:pStyle w:val="Compact"/>
        <w:numPr>
          <w:ilvl w:val="0"/>
          <w:numId w:val="1001"/>
        </w:numPr>
      </w:pPr>
      <w:r>
        <w:rPr>
          <w:b/>
          <w:bCs/>
        </w:rPr>
        <w:t xml:space="preserve">Consensus revenue:</w:t>
      </w:r>
      <w:r>
        <w:t xml:space="preserve"> </w:t>
      </w:r>
      <w:r>
        <w:t xml:space="preserve">~$4.36 billion (range</w:t>
      </w:r>
      <w:r>
        <w:t xml:space="preserve"> </w:t>
      </w:r>
      <m:oMath>
        <m:r>
          <m:t>4.24</m:t>
        </m:r>
        <m:r>
          <m:t>B</m:t>
        </m:r>
        <m:r>
          <m:rPr>
            <m:sty m:val="p"/>
          </m:rPr>
          <m:t>–</m:t>
        </m:r>
      </m:oMath>
      <w:r>
        <w:t xml:space="preserve">4.50B).</w:t>
      </w:r>
    </w:p>
    <w:p>
      <w:pPr>
        <w:pStyle w:val="Compact"/>
        <w:numPr>
          <w:ilvl w:val="0"/>
          <w:numId w:val="1001"/>
        </w:numPr>
      </w:pPr>
      <w:r>
        <w:t xml:space="preserve">This tracks with management's own Q2 guidance set on the Q1 call:</w:t>
      </w:r>
      <w:r>
        <w:t xml:space="preserve"> </w:t>
      </w:r>
      <w:r>
        <w:rPr>
          <w:b/>
          <w:bCs/>
        </w:rPr>
        <w:t xml:space="preserve">organic sales growth of flat to positive low-single digits</w:t>
      </w:r>
      <w:r>
        <w:t xml:space="preserve"> </w:t>
      </w:r>
      <w:r>
        <w:t xml:space="preserve">and</w:t>
      </w:r>
      <w:r>
        <w:t xml:space="preserve"> </w:t>
      </w:r>
      <w:r>
        <w:rPr>
          <w:b/>
          <w:bCs/>
        </w:rPr>
        <w:t xml:space="preserve">adjusted EPS growth of flat to positive low-single digits</w:t>
      </w:r>
      <w:r>
        <w:t xml:space="preserve"> </w:t>
      </w:r>
      <w:r>
        <w:t xml:space="preserve">year-over-year.</w:t>
      </w:r>
    </w:p>
    <w:p>
      <w:pPr>
        <w:pStyle w:val="Compact"/>
        <w:numPr>
          <w:ilvl w:val="0"/>
          <w:numId w:val="1001"/>
        </w:numPr>
      </w:pPr>
      <w:r>
        <w:rPr>
          <w:b/>
          <w:bCs/>
        </w:rPr>
        <w:t xml:space="preserve">Full-year 2026 guidance:</w:t>
      </w:r>
      <w:r>
        <w:t xml:space="preserve"> </w:t>
      </w:r>
      <w:r>
        <w:t xml:space="preserve">management reaffirmed adjusted EPS of</w:t>
      </w:r>
      <w:r>
        <w:t xml:space="preserve"> </w:t>
      </w:r>
      <m:oMath>
        <m:r>
          <m:t>7.70</m:t>
        </m:r>
        <m:r>
          <m:rPr>
            <m:sty m:val="p"/>
          </m:rPr>
          <m:t>–</m:t>
        </m:r>
      </m:oMath>
      <w:r>
        <w:rPr>
          <w:b/>
          <w:bCs/>
        </w:rPr>
        <w:t xml:space="preserve">8.10</w:t>
      </w:r>
      <w:r>
        <w:t xml:space="preserve"> </w:t>
      </w:r>
      <w:r>
        <w:t xml:space="preserve">at the Q1 call, with H1 (Q1 actual</w:t>
      </w:r>
      <w:r>
        <w:t xml:space="preserve"> </w:t>
      </w:r>
      <m:oMath>
        <m:r>
          <m:t>1.83</m:t>
        </m:r>
        <m:r>
          <m:rPr>
            <m:sty m:val="p"/>
          </m:rPr>
          <m:t>+</m:t>
        </m:r>
        <m:r>
          <m:t>Q</m:t>
        </m:r>
        <m:r>
          <m:t>2</m:t>
        </m:r>
        <m:r>
          <m:t>c</m:t>
        </m:r>
        <m:r>
          <m:t>o</m:t>
        </m:r>
        <m:r>
          <m:t>n</m:t>
        </m:r>
        <m:r>
          <m:t>s</m:t>
        </m:r>
        <m:r>
          <m:t>e</m:t>
        </m:r>
        <m:r>
          <m:t>n</m:t>
        </m:r>
        <m:r>
          <m:t>s</m:t>
        </m:r>
        <m:r>
          <m:t>u</m:t>
        </m:r>
        <m:r>
          <m:t>s</m:t>
        </m:r>
        <m:r>
          <m:t> </m:t>
        </m:r>
      </m:oMath>
      <w:r>
        <w:t xml:space="preserve">2.25 = ~$4.08) leaving roughly</w:t>
      </w:r>
      <w:r>
        <w:t xml:space="preserve"> </w:t>
      </w:r>
      <m:oMath>
        <m:r>
          <m:t>3.60</m:t>
        </m:r>
        <m:r>
          <m:rPr>
            <m:sty m:val="p"/>
          </m:rPr>
          <m:t>–</m:t>
        </m:r>
      </m:oMath>
      <w:r>
        <w:t xml:space="preserve">4.00 needed in H2 to hit the range.</w:t>
      </w:r>
    </w:p>
    <w:bookmarkEnd w:id="10"/>
    <w:bookmarkStart w:id="11" w:name="what-to-watch-in-the-print"/>
    <w:p>
      <w:pPr>
        <w:pStyle w:val="Heading2"/>
      </w:pPr>
      <w:r>
        <w:t xml:space="preserve">What to Watch in the Print</w:t>
      </w:r>
    </w:p>
    <w:p>
      <w:pPr>
        <w:pStyle w:val="FirstParagraph"/>
      </w:pPr>
      <w:r>
        <w:rPr>
          <w:b/>
          <w:bCs/>
        </w:rPr>
        <w:t xml:space="preserve">1. Can the organic growth streak extend to six quarters?</w:t>
      </w:r>
      <w:r>
        <w:t xml:space="preserve"> </w:t>
      </w:r>
      <w:r>
        <w:t xml:space="preserve">PPG achieved organic sales growth of positive 1% in Q1, marking its fifth consecutive quarter of higher year-over-year organic sales, driven largely by pricing. Investors will want to see this trend continue, especially given management's own guide of only flat-to-low-single-digit organic growth for Q2.</w:t>
      </w:r>
    </w:p>
    <w:p>
      <w:pPr>
        <w:pStyle w:val="BodyText"/>
      </w:pPr>
      <w:r>
        <w:rPr>
          <w:b/>
          <w:bCs/>
        </w:rPr>
        <w:t xml:space="preserve">2. Price/cost realization from the Iran-conflict-driven inflation spike.</w:t>
      </w:r>
      <w:r>
        <w:t xml:space="preserve"> </w:t>
      </w:r>
      <w:r>
        <w:t xml:space="preserve">This is probably the single biggest swing factor. Management flagged that the impact of the Iran war has driven up costs for raw materials, energy, logistics and packaging across the coatings value chain, expected to be a mid-single-digit percentage increase in cost of goods sold for the remainder of the year. Critically, CEO Tim Knavish argued PPG expects to deliver price-cost realization much more rapidly than in previous inflation cycles, citing prior cycles that took a year to 18 months versus "months" this time. Watch for: realized pricing progression by segment, commentary on the ~20% list price increases announced, and any signs input costs are running hotter or cooler than the mid-single-digit assumption.</w:t>
      </w:r>
    </w:p>
    <w:p>
      <w:pPr>
        <w:pStyle w:val="BodyText"/>
      </w:pPr>
      <w:r>
        <w:rPr>
          <w:b/>
          <w:bCs/>
        </w:rPr>
        <w:t xml:space="preserve">3. Automotive refinish — is the snapback arriving early?</w:t>
      </w:r>
      <w:r>
        <w:t xml:space="preserve"> </w:t>
      </w:r>
      <w:r>
        <w:t xml:space="preserve">Refinish organic sales fell double digits in Q1 as distributors lapped strong 2025 order patterns, and management guided to another y/y decline in Q2 before an expected second-half recovery. Encouragingly, U.S. industry accident claims were down just 1% year-over-year in February and March — three of the last four months showing low-single-digit declines, reinforcing a normalization trend after double-digit declines through most of last year — alongside sequentially improving U.S. distributor fulfillment orders. Any commentary suggesting the recovery is pulling forward from 2H would be a positive read-through to margins given refinish's rich profitability.</w:t>
      </w:r>
    </w:p>
    <w:p>
      <w:pPr>
        <w:pStyle w:val="BodyText"/>
      </w:pPr>
      <w:r>
        <w:rPr>
          <w:b/>
          <w:bCs/>
        </w:rPr>
        <w:t xml:space="preserve">4. Aerospace — still the crown jewel.</w:t>
      </w:r>
      <w:r>
        <w:t xml:space="preserve"> </w:t>
      </w:r>
      <w:r>
        <w:t xml:space="preserve">Aerospace delivered double-digit organic growth in Q1, and the segment remains essentially sold out, with backlog of about</w:t>
      </w:r>
      <w:r>
        <w:t xml:space="preserve"> </w:t>
      </w:r>
      <m:oMath>
        <m:r>
          <m:t>315</m:t>
        </m:r>
        <m:r>
          <m:t>m</m:t>
        </m:r>
        <m:r>
          <m:t>i</m:t>
        </m:r>
        <m:r>
          <m:t>l</m:t>
        </m:r>
        <m:r>
          <m:t>l</m:t>
        </m:r>
        <m:r>
          <m:t>i</m:t>
        </m:r>
        <m:r>
          <m:t>o</m:t>
        </m:r>
        <m:r>
          <m:t>n</m:t>
        </m:r>
        <m:r>
          <m:t>d</m:t>
        </m:r>
        <m:r>
          <m:t>e</m:t>
        </m:r>
        <m:r>
          <m:t>s</m:t>
        </m:r>
        <m:r>
          <m:t>p</m:t>
        </m:r>
        <m:r>
          <m:t>i</m:t>
        </m:r>
        <m:r>
          <m:t>t</m:t>
        </m:r>
        <m:r>
          <m:t>e</m:t>
        </m:r>
        <m:r>
          <m:t>a</m:t>
        </m:r>
        <m:r>
          <m:t>y</m:t>
        </m:r>
        <m:r>
          <m:t>e</m:t>
        </m:r>
        <m:r>
          <m:t>a</m:t>
        </m:r>
        <m:r>
          <m:t>r</m:t>
        </m:r>
        <m:r>
          <m:rPr>
            <m:sty m:val="p"/>
          </m:rPr>
          <m:t>−</m:t>
        </m:r>
        <m:r>
          <m:t>o</m:t>
        </m:r>
        <m:r>
          <m:t>v</m:t>
        </m:r>
        <m:r>
          <m:t>e</m:t>
        </m:r>
        <m:r>
          <m:t>r</m:t>
        </m:r>
        <m:r>
          <m:rPr>
            <m:sty m:val="p"/>
          </m:rPr>
          <m:t>−</m:t>
        </m:r>
        <m:r>
          <m:t>y</m:t>
        </m:r>
        <m:r>
          <m:t>e</m:t>
        </m:r>
        <m:r>
          <m:t>a</m:t>
        </m:r>
        <m:r>
          <m:t>r</m:t>
        </m:r>
        <m:r>
          <m:t>o</m:t>
        </m:r>
        <m:r>
          <m:t>u</m:t>
        </m:r>
        <m:r>
          <m:t>t</m:t>
        </m:r>
        <m:r>
          <m:t>p</m:t>
        </m:r>
        <m:r>
          <m:t>u</m:t>
        </m:r>
        <m:r>
          <m:t>t</m:t>
        </m:r>
        <m:r>
          <m:t>i</m:t>
        </m:r>
        <m:r>
          <m:t>n</m:t>
        </m:r>
        <m:r>
          <m:t>c</m:t>
        </m:r>
        <m:r>
          <m:t>r</m:t>
        </m:r>
        <m:r>
          <m:t>e</m:t>
        </m:r>
        <m:r>
          <m:t>a</m:t>
        </m:r>
        <m:r>
          <m:t>s</m:t>
        </m:r>
        <m:r>
          <m:t>e</m:t>
        </m:r>
        <m:r>
          <m:rPr>
            <m:sty m:val="p"/>
          </m:rPr>
          <m:t>,</m:t>
        </m:r>
        <m:r>
          <m:t>d</m:t>
        </m:r>
        <m:r>
          <m:t>r</m:t>
        </m:r>
        <m:r>
          <m:t>i</m:t>
        </m:r>
        <m:r>
          <m:t>v</m:t>
        </m:r>
        <m:r>
          <m:t>e</m:t>
        </m:r>
        <m:r>
          <m:t>n</m:t>
        </m:r>
        <m:r>
          <m:t>b</m:t>
        </m:r>
        <m:r>
          <m:t>y</m:t>
        </m:r>
        <m:r>
          <m:t>u</m:t>
        </m:r>
        <m:r>
          <m:t>n</m:t>
        </m:r>
        <m:r>
          <m:t>i</m:t>
        </m:r>
        <m:r>
          <m:t>q</m:t>
        </m:r>
        <m:r>
          <m:t>u</m:t>
        </m:r>
        <m:r>
          <m:t>e</m:t>
        </m:r>
        <m:r>
          <m:t>t</m:t>
        </m:r>
        <m:r>
          <m:t>e</m:t>
        </m:r>
        <m:r>
          <m:t>c</m:t>
        </m:r>
        <m:r>
          <m:t>h</m:t>
        </m:r>
        <m:r>
          <m:t>n</m:t>
        </m:r>
        <m:r>
          <m:t>o</m:t>
        </m:r>
        <m:r>
          <m:t>l</m:t>
        </m:r>
        <m:r>
          <m:t>o</m:t>
        </m:r>
        <m:r>
          <m:t>g</m:t>
        </m:r>
        <m:r>
          <m:t>y</m:t>
        </m:r>
        <m:r>
          <m:rPr>
            <m:sty m:val="p"/>
          </m:rPr>
          <m:t>−</m:t>
        </m:r>
        <m:r>
          <m:t>a</m:t>
        </m:r>
        <m:r>
          <m:t>d</m:t>
        </m:r>
        <m:r>
          <m:t>v</m:t>
        </m:r>
        <m:r>
          <m:t>a</m:t>
        </m:r>
        <m:r>
          <m:t>n</m:t>
        </m:r>
        <m:r>
          <m:t>t</m:t>
        </m:r>
        <m:r>
          <m:t>a</m:t>
        </m:r>
        <m:r>
          <m:t>g</m:t>
        </m:r>
        <m:r>
          <m:t>e</m:t>
        </m:r>
        <m:r>
          <m:t>d</m:t>
        </m:r>
        <m:r>
          <m:t>p</m:t>
        </m:r>
        <m:r>
          <m:t>r</m:t>
        </m:r>
        <m:r>
          <m:t>o</m:t>
        </m:r>
        <m:r>
          <m:t>d</m:t>
        </m:r>
        <m:r>
          <m:t>u</m:t>
        </m:r>
        <m:r>
          <m:t>c</m:t>
        </m:r>
        <m:r>
          <m:t>t</m:t>
        </m:r>
        <m:r>
          <m:t>s</m:t>
        </m:r>
        <m:r>
          <m:t>a</m:t>
        </m:r>
        <m:r>
          <m:t>c</m:t>
        </m:r>
        <m:r>
          <m:t>r</m:t>
        </m:r>
        <m:r>
          <m:t>o</m:t>
        </m:r>
        <m:r>
          <m:t>s</m:t>
        </m:r>
        <m:r>
          <m:t>s</m:t>
        </m:r>
        <m:r>
          <m:t>t</m:t>
        </m:r>
        <m:r>
          <m:t>r</m:t>
        </m:r>
        <m:r>
          <m:t>a</m:t>
        </m:r>
        <m:r>
          <m:t>n</m:t>
        </m:r>
        <m:r>
          <m:t>s</m:t>
        </m:r>
        <m:r>
          <m:t>p</m:t>
        </m:r>
        <m:r>
          <m:t>a</m:t>
        </m:r>
        <m:r>
          <m:t>r</m:t>
        </m:r>
        <m:r>
          <m:t>e</m:t>
        </m:r>
        <m:r>
          <m:t>n</m:t>
        </m:r>
        <m:r>
          <m:t>c</m:t>
        </m:r>
        <m:r>
          <m:t>i</m:t>
        </m:r>
        <m:r>
          <m:t>e</m:t>
        </m:r>
        <m:r>
          <m:t>s</m:t>
        </m:r>
        <m:r>
          <m:rPr>
            <m:sty m:val="p"/>
          </m:rPr>
          <m:t>,</m:t>
        </m:r>
        <m:r>
          <m:t>s</m:t>
        </m:r>
        <m:r>
          <m:t>e</m:t>
        </m:r>
        <m:r>
          <m:t>a</m:t>
        </m:r>
        <m:r>
          <m:t>l</m:t>
        </m:r>
        <m:r>
          <m:t>a</m:t>
        </m:r>
        <m:r>
          <m:t>n</m:t>
        </m:r>
        <m:r>
          <m:t>t</m:t>
        </m:r>
        <m:r>
          <m:t>s</m:t>
        </m:r>
        <m:r>
          <m:rPr>
            <m:sty m:val="p"/>
          </m:rPr>
          <m:t>/</m:t>
        </m:r>
        <m:r>
          <m:t>a</m:t>
        </m:r>
        <m:r>
          <m:t>d</m:t>
        </m:r>
        <m:r>
          <m:t>h</m:t>
        </m:r>
        <m:r>
          <m:t>e</m:t>
        </m:r>
        <m:r>
          <m:t>s</m:t>
        </m:r>
        <m:r>
          <m:t>i</m:t>
        </m:r>
        <m:r>
          <m:t>v</m:t>
        </m:r>
        <m:r>
          <m:t>e</m:t>
        </m:r>
        <m:r>
          <m:t>s</m:t>
        </m:r>
        <m:r>
          <m:rPr>
            <m:sty m:val="p"/>
          </m:rPr>
          <m:t>,</m:t>
        </m:r>
        <m:r>
          <m:t>c</m:t>
        </m:r>
        <m:r>
          <m:t>o</m:t>
        </m:r>
        <m:r>
          <m:t>a</m:t>
        </m:r>
        <m:r>
          <m:t>t</m:t>
        </m:r>
        <m:r>
          <m:t>i</m:t>
        </m:r>
        <m:r>
          <m:t>n</m:t>
        </m:r>
        <m:r>
          <m:t>g</m:t>
        </m:r>
        <m:r>
          <m:t>s</m:t>
        </m:r>
        <m:r>
          <m:rPr>
            <m:sty m:val="p"/>
          </m:rPr>
          <m:t>,</m:t>
        </m:r>
        <m:r>
          <m:t>s</m:t>
        </m:r>
        <m:r>
          <m:t>e</m:t>
        </m:r>
        <m:r>
          <m:t>r</m:t>
        </m:r>
        <m:r>
          <m:t>v</m:t>
        </m:r>
        <m:r>
          <m:t>i</m:t>
        </m:r>
        <m:r>
          <m:t>c</m:t>
        </m:r>
        <m:r>
          <m:t>e</m:t>
        </m:r>
        <m:r>
          <m:t>s</m:t>
        </m:r>
        <m:r>
          <m:t>a</m:t>
        </m:r>
        <m:r>
          <m:t>n</m:t>
        </m:r>
        <m:r>
          <m:t>d</m:t>
        </m:r>
        <m:r>
          <m:t>e</m:t>
        </m:r>
        <m:r>
          <m:t>n</m:t>
        </m:r>
        <m:r>
          <m:t>g</m:t>
        </m:r>
        <m:r>
          <m:t>i</m:t>
        </m:r>
        <m:r>
          <m:t>n</m:t>
        </m:r>
        <m:r>
          <m:t>e</m:t>
        </m:r>
        <m:r>
          <m:t>e</m:t>
        </m:r>
        <m:r>
          <m:t>r</m:t>
        </m:r>
        <m:r>
          <m:t>e</m:t>
        </m:r>
        <m:r>
          <m:t>d</m:t>
        </m:r>
        <m:r>
          <m:t>m</m:t>
        </m:r>
        <m:r>
          <m:t>a</m:t>
        </m:r>
        <m:r>
          <m:t>t</m:t>
        </m:r>
        <m:r>
          <m:t>e</m:t>
        </m:r>
        <m:r>
          <m:t>r</m:t>
        </m:r>
        <m:r>
          <m:t>i</m:t>
        </m:r>
        <m:r>
          <m:t>a</m:t>
        </m:r>
        <m:r>
          <m:t>l</m:t>
        </m:r>
        <m:r>
          <m:t>s</m:t>
        </m:r>
        <m:r>
          <m:rPr>
            <m:sty m:val="p"/>
          </m:rPr>
          <m:t>,</m:t>
        </m:r>
        <m:r>
          <m:t>b</m:t>
        </m:r>
        <m:r>
          <m:t>a</m:t>
        </m:r>
        <m:r>
          <m:t>l</m:t>
        </m:r>
        <m:r>
          <m:t>a</m:t>
        </m:r>
        <m:r>
          <m:t>n</m:t>
        </m:r>
        <m:r>
          <m:t>c</m:t>
        </m:r>
        <m:r>
          <m:t>e</m:t>
        </m:r>
        <m:r>
          <m:t>d</m:t>
        </m:r>
        <m:r>
          <m:t>r</m:t>
        </m:r>
        <m:r>
          <m:t>o</m:t>
        </m:r>
        <m:r>
          <m:t>u</m:t>
        </m:r>
        <m:r>
          <m:t>g</m:t>
        </m:r>
        <m:r>
          <m:t>h</m:t>
        </m:r>
        <m:r>
          <m:t>l</m:t>
        </m:r>
        <m:r>
          <m:t>y</m:t>
        </m:r>
        <m:r>
          <m:t>e</m:t>
        </m:r>
        <m:r>
          <m:t>v</m:t>
        </m:r>
        <m:r>
          <m:t>e</m:t>
        </m:r>
        <m:r>
          <m:t>n</m:t>
        </m:r>
        <m:r>
          <m:t>l</m:t>
        </m:r>
        <m:r>
          <m:t>y</m:t>
        </m:r>
        <m:r>
          <m:t>b</m:t>
        </m:r>
        <m:r>
          <m:t>e</m:t>
        </m:r>
        <m:r>
          <m:t>t</m:t>
        </m:r>
        <m:r>
          <m:t>w</m:t>
        </m:r>
        <m:r>
          <m:t>e</m:t>
        </m:r>
        <m:r>
          <m:t>e</m:t>
        </m:r>
        <m:r>
          <m:t>n</m:t>
        </m:r>
        <m:r>
          <m:t>O</m:t>
        </m:r>
        <m:r>
          <m:t>E</m:t>
        </m:r>
        <m:r>
          <m:t>M</m:t>
        </m:r>
        <m:r>
          <m:t>a</m:t>
        </m:r>
        <m:r>
          <m:t>n</m:t>
        </m:r>
        <m:r>
          <m:t>d</m:t>
        </m:r>
        <m:r>
          <m:t>a</m:t>
        </m:r>
        <m:r>
          <m:t>f</m:t>
        </m:r>
        <m:r>
          <m:t>t</m:t>
        </m:r>
        <m:r>
          <m:t>e</m:t>
        </m:r>
        <m:r>
          <m:t>r</m:t>
        </m:r>
        <m:r>
          <m:t>m</m:t>
        </m:r>
        <m:r>
          <m:t>a</m:t>
        </m:r>
        <m:r>
          <m:t>r</m:t>
        </m:r>
        <m:r>
          <m:t>k</m:t>
        </m:r>
        <m:r>
          <m:t>e</m:t>
        </m:r>
        <m:r>
          <m:t>t</m:t>
        </m:r>
        <m:r>
          <m:t>a</m:t>
        </m:r>
        <m:r>
          <m:t>n</m:t>
        </m:r>
        <m:r>
          <m:t>d</m:t>
        </m:r>
        <m:r>
          <m:t>a</m:t>
        </m:r>
        <m:r>
          <m:t>c</m:t>
        </m:r>
        <m:r>
          <m:t>r</m:t>
        </m:r>
        <m:r>
          <m:t>o</m:t>
        </m:r>
        <m:r>
          <m:t>s</m:t>
        </m:r>
        <m:r>
          <m:t>s</m:t>
        </m:r>
        <m:r>
          <m:t>c</m:t>
        </m:r>
        <m:r>
          <m:t>o</m:t>
        </m:r>
        <m:r>
          <m:t>m</m:t>
        </m:r>
        <m:r>
          <m:t>m</m:t>
        </m:r>
        <m:r>
          <m:t>e</m:t>
        </m:r>
        <m:r>
          <m:t>r</m:t>
        </m:r>
        <m:r>
          <m:t>c</m:t>
        </m:r>
        <m:r>
          <m:t>i</m:t>
        </m:r>
        <m:r>
          <m:t>a</m:t>
        </m:r>
        <m:r>
          <m:t>l</m:t>
        </m:r>
        <m:r>
          <m:rPr>
            <m:sty m:val="p"/>
          </m:rPr>
          <m:t>,</m:t>
        </m:r>
        <m:r>
          <m:t>g</m:t>
        </m:r>
        <m:r>
          <m:t>e</m:t>
        </m:r>
        <m:r>
          <m:t>n</m:t>
        </m:r>
        <m:r>
          <m:t>e</m:t>
        </m:r>
        <m:r>
          <m:t>r</m:t>
        </m:r>
        <m:r>
          <m:t>a</m:t>
        </m:r>
        <m:r>
          <m:t>l</m:t>
        </m:r>
        <m:r>
          <m:t>a</m:t>
        </m:r>
        <m:r>
          <m:t>v</m:t>
        </m:r>
        <m:r>
          <m:t>i</m:t>
        </m:r>
        <m:r>
          <m:t>a</m:t>
        </m:r>
        <m:r>
          <m:t>t</m:t>
        </m:r>
        <m:r>
          <m:t>i</m:t>
        </m:r>
        <m:r>
          <m:t>o</m:t>
        </m:r>
        <m:r>
          <m:t>n</m:t>
        </m:r>
        <m:r>
          <m:t>a</m:t>
        </m:r>
        <m:r>
          <m:t>n</m:t>
        </m:r>
        <m:r>
          <m:t>d</m:t>
        </m:r>
        <m:r>
          <m:t>m</m:t>
        </m:r>
        <m:r>
          <m:t>i</m:t>
        </m:r>
        <m:r>
          <m:t>l</m:t>
        </m:r>
        <m:r>
          <m:t>i</m:t>
        </m:r>
        <m:r>
          <m:t>t</m:t>
        </m:r>
        <m:r>
          <m:t>a</m:t>
        </m:r>
        <m:r>
          <m:t>r</m:t>
        </m:r>
        <m:r>
          <m:t>y</m:t>
        </m:r>
        <m:r>
          <m:rPr>
            <m:sty m:val="p"/>
          </m:rPr>
          <m:t>.</m:t>
        </m:r>
        <m:r>
          <m:t>M</m:t>
        </m:r>
        <m:r>
          <m:t>a</m:t>
        </m:r>
        <m:r>
          <m:t>n</m:t>
        </m:r>
        <m:r>
          <m:t>a</m:t>
        </m:r>
        <m:r>
          <m:t>g</m:t>
        </m:r>
        <m:r>
          <m:t>e</m:t>
        </m:r>
        <m:r>
          <m:t>m</m:t>
        </m:r>
        <m:r>
          <m:t>e</m:t>
        </m:r>
        <m:r>
          <m:t>n</m:t>
        </m:r>
        <m:r>
          <m:t>t</m:t>
        </m:r>
        <m:r>
          <m:t>h</m:t>
        </m:r>
        <m:r>
          <m:t>a</m:t>
        </m:r>
        <m:r>
          <m:t>s</m:t>
        </m:r>
        <m:r>
          <m:t>c</m:t>
        </m:r>
        <m:r>
          <m:t>o</m:t>
        </m:r>
        <m:r>
          <m:t>m</m:t>
        </m:r>
        <m:r>
          <m:t>m</m:t>
        </m:r>
        <m:r>
          <m:t>i</m:t>
        </m:r>
        <m:r>
          <m:t>t</m:t>
        </m:r>
        <m:r>
          <m:t>t</m:t>
        </m:r>
        <m:r>
          <m:t>e</m:t>
        </m:r>
        <m:r>
          <m:t>d</m:t>
        </m:r>
        <m:r>
          <m:t> </m:t>
        </m:r>
      </m:oMath>
      <w:r>
        <w:t xml:space="preserve">150 million to debottlenecking investments and a new $380 million plant for the 2028 timeframe — watch for updates on capacity, order trends, and whether the Europe flight-hour/geopolitical noise has had any effect (management said in Q1 it saw none).</w:t>
      </w:r>
    </w:p>
    <w:p>
      <w:pPr>
        <w:pStyle w:val="BodyText"/>
      </w:pPr>
      <w:r>
        <w:rPr>
          <w:b/>
          <w:bCs/>
        </w:rPr>
        <w:t xml:space="preserve">5. Industrial Coatings margin recovery.</w:t>
      </w:r>
      <w:r>
        <w:t xml:space="preserve"> </w:t>
      </w:r>
      <w:r>
        <w:t xml:space="preserve">This was the weak link in Q1 — segment EBITDA margin was pressured by unfavorable China auto-build mix (comping against a very strong Q1 2025) and the roll-off of deflationary-era index contracts in auto and packaging. Management said it expects to be wrapping up the roll-off of those index contracts in Q2, which should be a tailwind, alongside continued packaging coatings share gains (Q1 organic sales in packaging were up double digits, with two-year stack volumes up over 20%).</w:t>
      </w:r>
    </w:p>
    <w:p>
      <w:pPr>
        <w:pStyle w:val="BodyText"/>
      </w:pPr>
      <w:r>
        <w:rPr>
          <w:b/>
          <w:bCs/>
        </w:rPr>
        <w:t xml:space="preserve">6. Architectural Coatings EMEA restructuring progress.</w:t>
      </w:r>
      <w:r>
        <w:t xml:space="preserve"> </w:t>
      </w:r>
      <w:r>
        <w:t xml:space="preserve">PPG is closing four European manufacturing plants in H2 2026, targeting roughly</w:t>
      </w:r>
      <w:r>
        <w:t xml:space="preserve"> </w:t>
      </w:r>
      <m:oMath>
        <m:r>
          <m:t>25</m:t>
        </m:r>
        <m:r>
          <m:t>m</m:t>
        </m:r>
        <m:r>
          <m:t>i</m:t>
        </m:r>
        <m:r>
          <m:t>l</m:t>
        </m:r>
        <m:r>
          <m:t>l</m:t>
        </m:r>
        <m:r>
          <m:t>i</m:t>
        </m:r>
        <m:r>
          <m:t>o</m:t>
        </m:r>
        <m:r>
          <m:t>n</m:t>
        </m:r>
        <m:r>
          <m:t>o</m:t>
        </m:r>
        <m:r>
          <m:t>f</m:t>
        </m:r>
        <m:r>
          <m:t>a</m:t>
        </m:r>
        <m:r>
          <m:t>n</m:t>
        </m:r>
        <m:r>
          <m:t>n</m:t>
        </m:r>
        <m:r>
          <m:t>u</m:t>
        </m:r>
        <m:r>
          <m:t>a</m:t>
        </m:r>
        <m:r>
          <m:t>l</m:t>
        </m:r>
        <m:r>
          <m:t>f</m:t>
        </m:r>
        <m:r>
          <m:t>i</m:t>
        </m:r>
        <m:r>
          <m:t>x</m:t>
        </m:r>
        <m:r>
          <m:t>e</m:t>
        </m:r>
        <m:r>
          <m:t>d</m:t>
        </m:r>
        <m:r>
          <m:rPr>
            <m:sty m:val="p"/>
          </m:rPr>
          <m:t>−</m:t>
        </m:r>
        <m:r>
          <m:t>c</m:t>
        </m:r>
        <m:r>
          <m:t>o</m:t>
        </m:r>
        <m:r>
          <m:t>s</m:t>
        </m:r>
        <m:r>
          <m:t>t</m:t>
        </m:r>
        <m:r>
          <m:t>s</m:t>
        </m:r>
        <m:r>
          <m:t>a</m:t>
        </m:r>
        <m:r>
          <m:t>v</m:t>
        </m:r>
        <m:r>
          <m:t>i</m:t>
        </m:r>
        <m:r>
          <m:t>n</m:t>
        </m:r>
        <m:r>
          <m:t>g</m:t>
        </m:r>
        <m:r>
          <m:t>s</m:t>
        </m:r>
        <m:r>
          <m:t>f</m:t>
        </m:r>
        <m:r>
          <m:t>r</m:t>
        </m:r>
        <m:r>
          <m:t>o</m:t>
        </m:r>
        <m:r>
          <m:t>m</m:t>
        </m:r>
        <m:r>
          <m:t>t</m:t>
        </m:r>
        <m:r>
          <m:t>h</m:t>
        </m:r>
        <m:r>
          <m:t>o</m:t>
        </m:r>
        <m:r>
          <m:t>s</m:t>
        </m:r>
        <m:r>
          <m:t>e</m:t>
        </m:r>
        <m:r>
          <m:t>c</m:t>
        </m:r>
        <m:r>
          <m:t>l</m:t>
        </m:r>
        <m:r>
          <m:t>o</m:t>
        </m:r>
        <m:r>
          <m:t>s</m:t>
        </m:r>
        <m:r>
          <m:t>u</m:t>
        </m:r>
        <m:r>
          <m:t>r</m:t>
        </m:r>
        <m:r>
          <m:t>e</m:t>
        </m:r>
        <m:r>
          <m:t>s</m:t>
        </m:r>
        <m:r>
          <m:t>a</m:t>
        </m:r>
        <m:r>
          <m:t>l</m:t>
        </m:r>
        <m:r>
          <m:t>o</m:t>
        </m:r>
        <m:r>
          <m:t>n</m:t>
        </m:r>
        <m:r>
          <m:t>e</m:t>
        </m:r>
        <m:r>
          <m:rPr>
            <m:sty m:val="p"/>
          </m:rPr>
          <m:t>(</m:t>
        </m:r>
        <m:r>
          <m:t>p</m:t>
        </m:r>
        <m:r>
          <m:t>a</m:t>
        </m:r>
        <m:r>
          <m:t>r</m:t>
        </m:r>
        <m:r>
          <m:t>t</m:t>
        </m:r>
        <m:r>
          <m:t>o</m:t>
        </m:r>
        <m:r>
          <m:t>f</m:t>
        </m:r>
        <m:r>
          <m:t>a</m:t>
        </m:r>
        <m:r>
          <m:t>b</m:t>
        </m:r>
        <m:r>
          <m:t>r</m:t>
        </m:r>
        <m:r>
          <m:t>o</m:t>
        </m:r>
        <m:r>
          <m:t>a</m:t>
        </m:r>
        <m:r>
          <m:t>d</m:t>
        </m:r>
        <m:r>
          <m:t>e</m:t>
        </m:r>
        <m:r>
          <m:t>r</m:t>
        </m:r>
        <m:r>
          <m:t> </m:t>
        </m:r>
      </m:oMath>
      <w:r>
        <w:t xml:space="preserve">50 million restructuring benefit in 2026 and another $50 million planned for 2027). Watch for confirmation the closures are on track, plus continued strength in Mexico/Latin America, where retail sales were especially strong and project-related sales continued their recovery, while Europe architectural sales showed a low-single-digit percentage decline, partially offset by favorable pricing.</w:t>
      </w:r>
    </w:p>
    <w:p>
      <w:pPr>
        <w:pStyle w:val="BodyText"/>
      </w:pPr>
      <w:r>
        <w:rPr>
          <w:b/>
          <w:bCs/>
        </w:rPr>
        <w:t xml:space="preserve">7. New CFO's first call.</w:t>
      </w:r>
      <w:r>
        <w:t xml:space="preserve"> </w:t>
      </w:r>
      <w:r>
        <w:t xml:space="preserve">Jamie Beggs officially stepped in as CFO in July, succeeding long-tenured Vince Morales, who retired after more than 40 years at PPG. This is her first earnings call — watch for any shifts in tone on capital allocation, cost discipline, or disclosure style.</w:t>
      </w:r>
    </w:p>
    <w:p>
      <w:pPr>
        <w:pStyle w:val="BodyText"/>
      </w:pPr>
      <w:r>
        <w:rPr>
          <w:b/>
          <w:bCs/>
        </w:rPr>
        <w:t xml:space="preserve">8. Capital returns and balance sheet.</w:t>
      </w:r>
      <w:r>
        <w:t xml:space="preserve"> </w:t>
      </w:r>
      <w:r>
        <w:t xml:space="preserve">PPG ended Q1 with cash and short-term investments of about $1.6 billion after repaying $700 million of maturing debt and returning approximately $260 million to shareholders through dividends and share repurchases, and management has targeted free cash flow of roughly 10% of sales for the year, with buybacks continuing (10 straight quarters running). PPG is also a long-standing Dividend Aristocrat, having raised its dividend for over five decades.</w:t>
      </w:r>
    </w:p>
    <w:bookmarkEnd w:id="11"/>
    <w:bookmarkStart w:id="12" w:name="sector-backdrop"/>
    <w:p>
      <w:pPr>
        <w:pStyle w:val="Heading2"/>
      </w:pPr>
      <w:r>
        <w:t xml:space="preserve">Sector Backdrop</w:t>
      </w:r>
    </w:p>
    <w:p>
      <w:pPr>
        <w:pStyle w:val="FirstParagraph"/>
      </w:pPr>
      <w:r>
        <w:t xml:space="preserve">The coatings peer group has generally been constructive into this earnings season: RPM International's fiscal Q4 beat Street EPS estimates and its FY27 sales and EBITDA guidance came in ahead of consensus, while Axalta and AkzoNobel continue working through their merger (recently amending governance terms). This suggests reasonably healthy end-market demand and pricing discipline across the industry — a useful read-through for PPG's own pricing/volume balance commentary.</w:t>
      </w:r>
    </w:p>
    <w:bookmarkEnd w:id="12"/>
    <w:bookmarkStart w:id="13" w:name="bottom-line"/>
    <w:p>
      <w:pPr>
        <w:pStyle w:val="Heading2"/>
      </w:pPr>
      <w:r>
        <w:t xml:space="preserve">Bottom Line</w:t>
      </w:r>
    </w:p>
    <w:p>
      <w:pPr>
        <w:pStyle w:val="FirstParagraph"/>
      </w:pPr>
      <w:r>
        <w:t xml:space="preserve">Expectations are fairly tightly clustered (EPS range of just</w:t>
      </w:r>
      <w:r>
        <w:t xml:space="preserve"> </w:t>
      </w:r>
      <m:oMath>
        <m:r>
          <m:t>2.20</m:t>
        </m:r>
        <m:r>
          <m:rPr>
            <m:sty m:val="p"/>
          </m:rPr>
          <m:t>–</m:t>
        </m:r>
      </m:oMath>
      <w:r>
        <w:t xml:space="preserve">2.32), and the stock has already re-rated meaningfully higher into the print, which raises the bar for a "beat and raise" reaction. The key debate is less about the quarter itself — which management has already guided to modest growth — and more about</w:t>
      </w:r>
      <w:r>
        <w:t xml:space="preserve"> </w:t>
      </w:r>
      <w:r>
        <w:rPr>
          <w:b/>
          <w:bCs/>
        </w:rPr>
        <w:t xml:space="preserve">whether price realization is truly outrunning the mid-single-digit raw material inflation shock</w:t>
      </w:r>
      <w:r>
        <w:t xml:space="preserve">,</w:t>
      </w:r>
      <w:r>
        <w:t xml:space="preserve"> </w:t>
      </w:r>
      <w:r>
        <w:rPr>
          <w:b/>
          <w:bCs/>
        </w:rPr>
        <w:t xml:space="preserve">whether refinish and aerospace momentum can offset continued softness in Europe and global industrial end markets</w:t>
      </w:r>
      <w:r>
        <w:t xml:space="preserve">, and</w:t>
      </w:r>
      <w:r>
        <w:t xml:space="preserve"> </w:t>
      </w:r>
      <w:r>
        <w:rPr>
          <w:b/>
          <w:bCs/>
        </w:rPr>
        <w:t xml:space="preserve">whether full-year guidance (</w:t>
      </w:r>
      <m:oMath>
        <m:r>
          <m:t>7.70</m:t>
        </m:r>
        <m:r>
          <m:rPr>
            <m:sty m:val="p"/>
          </m:rPr>
          <m:t>–</m:t>
        </m:r>
      </m:oMath>
      <w:r>
        <w:rPr>
          <w:b/>
          <w:bCs/>
        </w:rPr>
        <w:t xml:space="preserve">8.10) gets reaffirmed, raised, or nudged down</w:t>
      </w:r>
      <w:r>
        <w:t xml:space="preserve"> </w:t>
      </w:r>
      <w:r>
        <w:t xml:space="preserve">given the fluid geopolitical/input-cost backdrop. Commentary on second-half volume conviction — particularly the refinish snapback and Industrial Coatings margin inflection — will likely matter more to the stock than the Q2 print itself.</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2026-07-28T01:40:27Z</dcterms:created>
  <dcterms:modified xsi:type="dcterms:W3CDTF">2026-07-28T01:40:27Z</dcterms:modified>
</cp:coreProperties>
</file>

<file path=docProps/custom.xml><?xml version="1.0" encoding="utf-8"?>
<Properties xmlns="http://schemas.openxmlformats.org/officeDocument/2006/custom-properties" xmlns:vt="http://schemas.openxmlformats.org/officeDocument/2006/docPropsVTypes"/>
</file>