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pg-earnings-predictions--2026-07-28"/>
    <w:p>
      <w:pPr>
        <w:pStyle w:val="Heading1"/>
      </w:pPr>
      <w:r>
        <w:t xml:space="preserve">PPG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~$2.27 vs. cons $2.26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~$4.40B vs. cons $4.37B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~1.5% vs. cons 1.3%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~$7.90 midpoint vs. cons $7.93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~$2.14 vs. cons $2.19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sales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~2.0% vs. cons 2.0%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-3.8% (FOLLOW-THROUGH)</w:t>
            </w:r>
          </w:p>
        </w:tc>
        <w:tc>
          <w:tcPr/>
          <w:p>
            <w:pPr>
              <w:pStyle w:val="Compact"/>
            </w:pPr>
            <w:r>
              <w:t xml:space="preserve">A broadly in-line Q2 is outweighed by price-cost pressure and Q3 adjusted EPS guidance of ~$2.14 versus consensus of $2.19; the implied second-half earnings path pulls FY2026 estimates from consensus near</w:t>
            </w:r>
            <w:r>
              <w:t xml:space="preserve"> </w:t>
            </w:r>
            <m:oMath>
              <m:r>
                <m:t>7.93</m:t>
              </m:r>
              <m:r>
                <m:t>t</m:t>
              </m:r>
              <m:r>
                <m:t>o</m:t>
              </m:r>
              <m:r>
                <m:t>w</m:t>
              </m:r>
              <m:r>
                <m:t>a</m:t>
              </m:r>
              <m:r>
                <m:t>r</m:t>
              </m:r>
              <m:r>
                <m:t>d</m:t>
              </m:r>
              <m:r>
                <m:t>t</m:t>
              </m:r>
              <m:r>
                <m:t>h</m:t>
              </m:r>
              <m:r>
                <m:t>e</m:t>
              </m:r>
              <m:r>
                <m:t> </m:t>
              </m:r>
            </m:oMath>
            <w:r>
              <w:t xml:space="preserve">7.90 guidance midpoint, sustaining negative revisions after day 1.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2026-07-28T01:40:02Z</dcterms:created>
  <dcterms:modified xsi:type="dcterms:W3CDTF">2026-07-28T01:40:02Z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