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ppg-q2-2026-earnings-preview"/>
    <w:p>
      <w:pPr>
        <w:pStyle w:val="Heading1"/>
      </w:pPr>
      <w:r>
        <w:t xml:space="preserve">PPG Q2 2026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Today is</w:t>
      </w:r>
      <w:r>
        <w:t xml:space="preserve"> </w:t>
      </w:r>
      <w:r>
        <w:rPr>
          <w:b/>
          <w:bCs/>
        </w:rPr>
        <w:t xml:space="preserve">Tuesday, July 28, 2026</w:t>
      </w:r>
      <w:r>
        <w:t xml:space="preserve">. The supplied event information indicates PPG’s 2026 Q2 earnings event is imminent; this preview assumes results are released</w:t>
      </w:r>
      <w:r>
        <w:t xml:space="preserve"> </w:t>
      </w:r>
      <w:r>
        <w:rPr>
          <w:b/>
          <w:bCs/>
        </w:rPr>
        <w:t xml:space="preserve">Wednesday, July 29, 2026</w:t>
      </w:r>
      <w:r>
        <w:t xml:space="preserve">.</w:t>
      </w:r>
    </w:p>
    <w:bookmarkStart w:id="9" w:name="X292fcad4c6badb63947dcc12b6aac010080ed25"/>
    <w:p>
      <w:pPr>
        <w:pStyle w:val="Heading2"/>
      </w:pPr>
      <w:r>
        <w:t xml:space="preserve">Investment view: the quarter is primarily a test of price/cost execution</w:t>
      </w:r>
    </w:p>
    <w:p>
      <w:pPr>
        <w:pStyle w:val="FirstParagraph"/>
      </w:pPr>
      <w:r>
        <w:t xml:space="preserve">PPG enters Q2 with its full-year adjusted EPS guidance intact at</w:t>
      </w:r>
      <w:r>
        <w:t xml:space="preserve"> </w:t>
      </w:r>
      <m:oMath>
        <m:r>
          <m:t>7.70</m:t>
        </m:r>
        <m:r>
          <m:rPr>
            <m:sty m:val="p"/>
          </m:rPr>
          <m:t>–</m:t>
        </m:r>
      </m:oMath>
      <w:r>
        <w:rPr>
          <w:b/>
          <w:bCs/>
        </w:rPr>
        <w:t xml:space="preserve">8.10</w:t>
      </w:r>
      <w:r>
        <w:t xml:space="preserve"> </w:t>
      </w:r>
      <w:r>
        <w:t xml:space="preserve">and management’s explicit expectation for</w:t>
      </w:r>
      <w:r>
        <w:t xml:space="preserve"> </w:t>
      </w:r>
      <w:r>
        <w:rPr>
          <w:b/>
          <w:bCs/>
        </w:rPr>
        <w:t xml:space="preserve">organic sales and adjusted EPS to be flat to up low single digits year over year</w:t>
      </w:r>
      <w:r>
        <w:t xml:space="preserve"> </w:t>
      </w:r>
      <w:r>
        <w:t xml:space="preserve">in Q2. The headline print matters, but the more consequential question for investors is whether PPG has converted announced pricing actions into sufficient realized price to offset a sharp increase in raw-material, energy, freight and packaging costs.</w:t>
      </w:r>
    </w:p>
    <w:p>
      <w:pPr>
        <w:pStyle w:val="BodyText"/>
      </w:pPr>
      <w:r>
        <w:t xml:space="preserve">The setup is balanced: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Supports:</w:t>
      </w:r>
      <w:r>
        <w:t xml:space="preserve"> </w:t>
      </w:r>
      <w:r>
        <w:t xml:space="preserve">aerospace, protective &amp; marine, packaging coatings, Mexico architectural coatings, industrial share gains, restructuring savings and buybacks.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Offsets:</w:t>
      </w:r>
      <w:r>
        <w:t xml:space="preserve"> </w:t>
      </w:r>
      <w:r>
        <w:t xml:space="preserve">difficult automotive-refinish comparisons, uneven Europe and U.S. industrial demand, weak first-quarter Industrial Coatings margins, and volatile petrochemical/feedstock costs.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Key swing factor:</w:t>
      </w:r>
      <w:r>
        <w:t xml:space="preserve"> </w:t>
      </w:r>
      <w:r>
        <w:t xml:space="preserve">the pace and durability of price/cost recovery amid a rapidly changing energy backdrop.</w:t>
      </w:r>
    </w:p>
    <w:bookmarkEnd w:id="9"/>
    <w:bookmarkStart w:id="10" w:name="what-ppg-has-guided-to"/>
    <w:p>
      <w:pPr>
        <w:pStyle w:val="Heading2"/>
      </w:pPr>
      <w:r>
        <w:t xml:space="preserve">What PPG has guided to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management framework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 comparison base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sales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Flat to</w:t>
            </w:r>
            <w:r>
              <w:t xml:space="preserve"> </w:t>
            </w:r>
            <w:r>
              <w:rPr>
                <w:b/>
                <w:bCs/>
              </w:rPr>
              <w:t xml:space="preserve">+low single digits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Organic sales +2%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Flat to</w:t>
            </w:r>
            <w:r>
              <w:t xml:space="preserve"> </w:t>
            </w:r>
            <w:r>
              <w:rPr>
                <w:b/>
                <w:bCs/>
              </w:rPr>
              <w:t xml:space="preserve">+low single digits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$2.22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Implied adjusted EPS range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Roughly</w:t>
            </w:r>
            <w:r>
              <w:t xml:space="preserve"> </w:t>
            </w:r>
            <m:oMath>
              <m:r>
                <m:t>2.22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2.29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Full-year adjusted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7.70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8.10</w:t>
            </w:r>
            <w:r>
              <w:t xml:space="preserve">, reaffirmed in Q1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7.75</m:t>
              </m:r>
              <m:r>
                <m:rPr>
                  <m:sty m:val="p"/>
                </m:rPr>
                <m:t>–</m:t>
              </m:r>
            </m:oMath>
            <w:r>
              <w:t xml:space="preserve">8.05 prior-year guide at the comparable point</w:t>
            </w:r>
          </w:p>
        </w:tc>
      </w:tr>
    </w:tbl>
    <w:p>
      <w:pPr>
        <w:pStyle w:val="BodyText"/>
      </w:pPr>
      <w:r>
        <w:t xml:space="preserve">The key comparison is not easy. In Q2 2025, PPG generated</w:t>
      </w:r>
      <w:r>
        <w:t xml:space="preserve"> </w:t>
      </w:r>
      <m:oMath>
        <m:r>
          <m:t>4.20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s</m:t>
        </m:r>
        <m:r>
          <m:t>a</m:t>
        </m:r>
        <m:r>
          <m:t>l</m:t>
        </m:r>
        <m:r>
          <m:t>e</m:t>
        </m:r>
        <m:r>
          <m:t>s</m:t>
        </m:r>
        <m:r>
          <m:rPr>
            <m:sty m:val="p"/>
          </m:rPr>
          <m:t>,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2.22</w:t>
      </w:r>
      <w:r>
        <w:t xml:space="preserve"> </w:t>
      </w:r>
      <w:r>
        <w:t xml:space="preserve">of adjusted EPS and a</w:t>
      </w:r>
      <w:r>
        <w:t xml:space="preserve"> </w:t>
      </w:r>
      <w:r>
        <w:rPr>
          <w:b/>
          <w:bCs/>
        </w:rPr>
        <w:t xml:space="preserve">20.3%</w:t>
      </w:r>
      <w:r>
        <w:t xml:space="preserve"> </w:t>
      </w:r>
      <w:r>
        <w:t xml:space="preserve">total segment EBITDA margin. Performance Coatings had an exceptionally strong quarter, with a 25.7% EBITDA margin, while Global Architectural Coatings and Industrial Coatings were lower-margin than their historical potential.</w:t>
      </w:r>
    </w:p>
    <w:p>
      <w:pPr>
        <w:pStyle w:val="BodyText"/>
      </w:pPr>
      <w:r>
        <w:t xml:space="preserve">Therefore, merely delivering the guided “flat to low-single-digit” EPS outcome may not be sufficient for a positive market reaction if it comes with a softer second-half outlook or further margin pressure. Conversely, an in-line headline result paired with credible price/cost progress and reaffirmed guidance could be enough to support the shares.</w:t>
      </w:r>
    </w:p>
    <w:bookmarkEnd w:id="10"/>
    <w:bookmarkStart w:id="12" w:name="X90f9c06e855c9ac03e771d8c72b0970cfb4ebe7"/>
    <w:p>
      <w:pPr>
        <w:pStyle w:val="Heading2"/>
      </w:pPr>
      <w:r>
        <w:t xml:space="preserve">The central issue: can price offset inflation quickly enough?</w:t>
      </w:r>
    </w:p>
    <w:p>
      <w:pPr>
        <w:pStyle w:val="FirstParagraph"/>
      </w:pPr>
      <w:r>
        <w:t xml:space="preserve">At its Q1 call, PPG said the Middle East conflict and related supply-chain disruption were expected to create a</w:t>
      </w:r>
      <w:r>
        <w:t xml:space="preserve"> </w:t>
      </w:r>
      <w:r>
        <w:rPr>
          <w:b/>
          <w:bCs/>
        </w:rPr>
        <w:t xml:space="preserve">mid-single-digit percentage increase in cost of goods sold for the remainder of 2026</w:t>
      </w:r>
      <w:r>
        <w:t xml:space="preserve">. Management had announced customer-specific price actions of</w:t>
      </w:r>
      <w:r>
        <w:t xml:space="preserve"> </w:t>
      </w:r>
      <w:r>
        <w:rPr>
          <w:b/>
          <w:bCs/>
        </w:rPr>
        <w:t xml:space="preserve">up to 20%</w:t>
      </w:r>
      <w:r>
        <w:t xml:space="preserve"> </w:t>
      </w:r>
      <w:r>
        <w:t xml:space="preserve">across products and services, while emphasizing that total-company realized pricing only needed to reach</w:t>
      </w:r>
      <w:r>
        <w:t xml:space="preserve"> </w:t>
      </w:r>
      <w:r>
        <w:rPr>
          <w:b/>
          <w:bCs/>
        </w:rPr>
        <w:t xml:space="preserve">solid low single digits</w:t>
      </w:r>
      <w:r>
        <w:t xml:space="preserve"> </w:t>
      </w:r>
      <w:r>
        <w:t xml:space="preserve">initially to offset the modeled cost impact.</w:t>
      </w:r>
    </w:p>
    <w:p>
      <w:pPr>
        <w:pStyle w:val="BodyText"/>
      </w:pPr>
      <w:r>
        <w:t xml:space="preserve">This is the most important issue for Q2 because it determines both the near-term margin trajectory and confidence in the full-year guide.</w:t>
      </w:r>
    </w:p>
    <w:bookmarkStart w:id="11" w:name="what-investors-should-listen-for"/>
    <w:p>
      <w:pPr>
        <w:pStyle w:val="Heading3"/>
      </w:pPr>
      <w:r>
        <w:t xml:space="preserve">What investors should listen for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Actual price realization in Q2.</w:t>
      </w:r>
      <w:r>
        <w:br/>
      </w:r>
      <w:r>
        <w:t xml:space="preserve">PPG previously expected positive overall pricing, led by Performance and Global Architectural Coatings, with Industrial Coatings improving from Q1 but closer to flat year over year.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Raw-material, energy and freight inflation versus the April baseline.</w:t>
      </w:r>
      <w:r>
        <w:br/>
      </w:r>
      <w:r>
        <w:t xml:space="preserve">Energy prices have remained unusually volatile during July. Investors need a refreshed view of whether the company’s prior mid-single-digit COGS inflation assumption remains appropriate, has eased, or is now too conservative.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Timing of price/cost neutrality.</w:t>
      </w:r>
      <w:r>
        <w:br/>
      </w:r>
      <w:r>
        <w:t xml:space="preserve">Management previously targeted a substantially faster recovery than prior inflation cycles, with normalization around the beginning of 2027. Any indication that this timetable has slipped would be a negative.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Volume response to price actions.</w:t>
      </w:r>
      <w:r>
        <w:br/>
      </w:r>
      <w:r>
        <w:t xml:space="preserve">PPG believes its differentiated product portfolio, global sourcing scale and recent commercial momentum will limit volume erosion. The Q2 result will provide the first meaningful evidence.</w:t>
      </w:r>
    </w:p>
    <w:bookmarkEnd w:id="11"/>
    <w:bookmarkEnd w:id="12"/>
    <w:bookmarkStart w:id="16" w:name="segment-scorecard"/>
    <w:p>
      <w:pPr>
        <w:pStyle w:val="Heading2"/>
      </w:pPr>
      <w:r>
        <w:t xml:space="preserve">Segment scorecard</w:t>
      </w:r>
    </w:p>
    <w:bookmarkStart w:id="13" w:name="X429977ce8b069bae465add3e280cce2c518f445"/>
    <w:p>
      <w:pPr>
        <w:pStyle w:val="Heading3"/>
      </w:pPr>
      <w:r>
        <w:t xml:space="preserve">1. Performance Coatings: still the earnings anchor</w:t>
      </w:r>
    </w:p>
    <w:p>
      <w:pPr>
        <w:pStyle w:val="FirstParagraph"/>
      </w:pPr>
      <w:r>
        <w:t xml:space="preserve">Performance Coatings is PPG’s most important source of quality growth and margins. In Q1, the segment delivered a</w:t>
      </w:r>
      <w:r>
        <w:t xml:space="preserve"> </w:t>
      </w:r>
      <w:r>
        <w:rPr>
          <w:b/>
          <w:bCs/>
        </w:rPr>
        <w:t xml:space="preserve">24.4% EBITDA margin</w:t>
      </w:r>
      <w:r>
        <w:t xml:space="preserve"> </w:t>
      </w:r>
      <w:r>
        <w:t xml:space="preserve">despite lower automotive-refinish volumes.</w:t>
      </w:r>
    </w:p>
    <w:p>
      <w:pPr>
        <w:pStyle w:val="BodyText"/>
      </w:pPr>
      <w:r>
        <w:rPr>
          <w:b/>
          <w:bCs/>
        </w:rPr>
        <w:t xml:space="preserve">What should work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Aerospace:</w:t>
      </w:r>
      <w:r>
        <w:t xml:space="preserve"> </w:t>
      </w:r>
      <w:r>
        <w:t xml:space="preserve">Q1 organic sales grew double digits, and backlog remained roughly</w:t>
      </w:r>
      <w:r>
        <w:t xml:space="preserve"> </w:t>
      </w:r>
      <w:r>
        <w:rPr>
          <w:b/>
          <w:bCs/>
        </w:rPr>
        <w:t xml:space="preserve">$315 million</w:t>
      </w:r>
      <w:r>
        <w:t xml:space="preserve">. PPG is capacity constrained rather than demand constrained, and incremental debottlenecking investments should support continued growth.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Protective &amp; marine:</w:t>
      </w:r>
      <w:r>
        <w:t xml:space="preserve"> </w:t>
      </w:r>
      <w:r>
        <w:t xml:space="preserve">Q1 organic growth was high single digits, supported by share gains, marine activity and infrastructure/data-center-related demand.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Traffic Solutions:</w:t>
      </w:r>
      <w:r>
        <w:t xml:space="preserve"> </w:t>
      </w:r>
      <w:r>
        <w:t xml:space="preserve">The business benefits from normal seasonal strength in Q2 and Q3.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Pricing:</w:t>
      </w:r>
      <w:r>
        <w:t xml:space="preserve"> </w:t>
      </w:r>
      <w:r>
        <w:t xml:space="preserve">This segment should be among the earliest beneficiaries of the new pricing actions.</w:t>
      </w:r>
    </w:p>
    <w:p>
      <w:pPr>
        <w:pStyle w:val="FirstParagraph"/>
      </w:pPr>
      <w:r>
        <w:rPr>
          <w:b/>
          <w:bCs/>
        </w:rPr>
        <w:t xml:space="preserve">What could disappoint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Automotive refinish:</w:t>
      </w:r>
      <w:r>
        <w:t xml:space="preserve"> </w:t>
      </w:r>
      <w:r>
        <w:t xml:space="preserve">PPG expected another year-over-year organic-sales decline in Q2 because of difficult customer order-pattern comparisons in the first half of 2025. The second half should have easier comparisons, but investors will want confirmation that distributor inventory and U.S. collision-claim trends are normalizing as expected.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Growth investment:</w:t>
      </w:r>
      <w:r>
        <w:t xml:space="preserve"> </w:t>
      </w:r>
      <w:r>
        <w:t xml:space="preserve">Aerospace and protective/marine capacity investments are strategically attractive but can temper near-term margins.</w:t>
      </w:r>
    </w:p>
    <w:p>
      <w:pPr>
        <w:pStyle w:val="FirstParagraph"/>
      </w:pPr>
      <w:r>
        <w:rPr>
          <w:b/>
          <w:bCs/>
        </w:rPr>
        <w:t xml:space="preserve">Investor takeaway:</w:t>
      </w:r>
      <w:r>
        <w:t xml:space="preserve"> </w:t>
      </w:r>
      <w:r>
        <w:t xml:space="preserve">Strong aerospace and protective/marine performance can offset refinish weakness, but a material miss in either would challenge the company’s high-quality-growth narrative.</w:t>
      </w:r>
    </w:p>
    <w:p>
      <w:r>
        <w:pict>
          <v:rect style="width:0;height:1.5pt" o:hralign="center" o:hrstd="t" o:hr="t"/>
        </w:pict>
      </w:r>
    </w:p>
    <w:bookmarkEnd w:id="13"/>
    <w:bookmarkStart w:id="14" w:name="X56975f969d15219b04ed4cdd6163d60d04f58e4"/>
    <w:p>
      <w:pPr>
        <w:pStyle w:val="Heading3"/>
      </w:pPr>
      <w:r>
        <w:t xml:space="preserve">2. Industrial Coatings: the principal margin repair story</w:t>
      </w:r>
    </w:p>
    <w:p>
      <w:pPr>
        <w:pStyle w:val="FirstParagraph"/>
      </w:pPr>
      <w:r>
        <w:t xml:space="preserve">Industrial Coatings was the weak point in Q1: segment EBITDA margin fell to</w:t>
      </w:r>
      <w:r>
        <w:t xml:space="preserve"> </w:t>
      </w:r>
      <w:r>
        <w:rPr>
          <w:b/>
          <w:bCs/>
        </w:rPr>
        <w:t xml:space="preserve">15.0%</w:t>
      </w:r>
      <w:r>
        <w:t xml:space="preserve">, from</w:t>
      </w:r>
      <w:r>
        <w:t xml:space="preserve"> </w:t>
      </w:r>
      <w:r>
        <w:rPr>
          <w:b/>
          <w:bCs/>
        </w:rPr>
        <w:t xml:space="preserve">16.8%</w:t>
      </w:r>
      <w:r>
        <w:t xml:space="preserve"> </w:t>
      </w:r>
      <w:r>
        <w:t xml:space="preserve">a year earlier. The main drivers were unfavorable China automotive mix and lower index-based pricing in auto OEM and packaging contracts.</w:t>
      </w:r>
    </w:p>
    <w:p>
      <w:pPr>
        <w:pStyle w:val="BodyText"/>
      </w:pPr>
      <w:r>
        <w:rPr>
          <w:b/>
          <w:bCs/>
        </w:rPr>
        <w:t xml:space="preserve">What should improve</w:t>
      </w:r>
    </w:p>
    <w:p>
      <w:pPr>
        <w:pStyle w:val="Compact"/>
        <w:numPr>
          <w:ilvl w:val="0"/>
          <w:numId w:val="1005"/>
        </w:numPr>
      </w:pPr>
      <w:r>
        <w:t xml:space="preserve">PPG expects</w:t>
      </w:r>
      <w:r>
        <w:t xml:space="preserve"> </w:t>
      </w:r>
      <w:r>
        <w:rPr>
          <w:b/>
          <w:bCs/>
        </w:rPr>
        <w:t xml:space="preserve">flat to low-single-digit organic growth</w:t>
      </w:r>
      <w:r>
        <w:t xml:space="preserve"> </w:t>
      </w:r>
      <w:r>
        <w:t xml:space="preserve">in Q2, supported by sales-volume growth and share gains.</w:t>
      </w:r>
    </w:p>
    <w:p>
      <w:pPr>
        <w:pStyle w:val="Compact"/>
        <w:numPr>
          <w:ilvl w:val="0"/>
          <w:numId w:val="1005"/>
        </w:numPr>
      </w:pPr>
      <w:r>
        <w:t xml:space="preserve">Automotive OEM and packaging coatings should continue to outperform their underlying markets.</w:t>
      </w:r>
    </w:p>
    <w:p>
      <w:pPr>
        <w:pStyle w:val="Compact"/>
        <w:numPr>
          <w:ilvl w:val="0"/>
          <w:numId w:val="1005"/>
        </w:numPr>
      </w:pPr>
      <w:r>
        <w:t xml:space="preserve">PPG said the deflationary index-contract roll-off affecting price should largely conclude in Q2.</w:t>
      </w:r>
    </w:p>
    <w:p>
      <w:pPr>
        <w:pStyle w:val="Compact"/>
        <w:numPr>
          <w:ilvl w:val="0"/>
          <w:numId w:val="1005"/>
        </w:numPr>
      </w:pPr>
      <w:r>
        <w:t xml:space="preserve">Management expects sequential margin improvement from better volume, pricing and cost control.</w:t>
      </w:r>
    </w:p>
    <w:p>
      <w:pPr>
        <w:pStyle w:val="FirstParagraph"/>
      </w:pPr>
      <w:r>
        <w:rPr>
          <w:b/>
          <w:bCs/>
        </w:rPr>
        <w:t xml:space="preserve">What to watch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China auto build rates and regional mix.</w:t>
      </w:r>
      <w:r>
        <w:t xml:space="preserve"> </w:t>
      </w:r>
      <w:r>
        <w:t xml:space="preserve">This was the largest Q1 margin headwind.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North American and European auto production.</w:t>
      </w:r>
      <w:r>
        <w:t xml:space="preserve"> </w:t>
      </w:r>
      <w:r>
        <w:t xml:space="preserve">PPG had expected weaker year-over-year production in these regions.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U.S. industrial end markets.</w:t>
      </w:r>
      <w:r>
        <w:t xml:space="preserve"> </w:t>
      </w:r>
      <w:r>
        <w:t xml:space="preserve">Kitchen/bakeware, appliances and consumer electronics were notably soft in Q1.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Packaging share gains.</w:t>
      </w:r>
      <w:r>
        <w:t xml:space="preserve"> </w:t>
      </w:r>
      <w:r>
        <w:t xml:space="preserve">Packaging has been a standout, with Q1 organic sales up double digits and volumes up more than 20% on a two-year stack.</w:t>
      </w:r>
    </w:p>
    <w:p>
      <w:pPr>
        <w:pStyle w:val="FirstParagraph"/>
      </w:pPr>
      <w:r>
        <w:rPr>
          <w:b/>
          <w:bCs/>
        </w:rPr>
        <w:t xml:space="preserve">Investor takeaway:</w:t>
      </w:r>
      <w:r>
        <w:t xml:space="preserve"> </w:t>
      </w:r>
      <w:r>
        <w:t xml:space="preserve">Industrial does not need to become a major growth engine this quarter; it needs to demonstrate that Q1 was a trough for margin and that share gains can translate into better mix and operating leverage.</w:t>
      </w:r>
    </w:p>
    <w:p>
      <w:r>
        <w:pict>
          <v:rect style="width:0;height:1.5pt" o:hralign="center" o:hrstd="t" o:hr="t"/>
        </w:pict>
      </w:r>
    </w:p>
    <w:bookmarkEnd w:id="14"/>
    <w:bookmarkStart w:id="15" w:name="Xa7fd155ec3b24bdf18ba1d15780efb150a45014"/>
    <w:p>
      <w:pPr>
        <w:pStyle w:val="Heading3"/>
      </w:pPr>
      <w:r>
        <w:t xml:space="preserve">3. Global Architectural Coatings: Mexico and self-help versus Europe</w:t>
      </w:r>
    </w:p>
    <w:p>
      <w:pPr>
        <w:pStyle w:val="FirstParagraph"/>
      </w:pPr>
      <w:r>
        <w:t xml:space="preserve">Global Architectural Coatings posted the strongest Q1 margin improvement, with EBITDA margin rising</w:t>
      </w:r>
      <w:r>
        <w:t xml:space="preserve"> </w:t>
      </w:r>
      <w:r>
        <w:rPr>
          <w:b/>
          <w:bCs/>
        </w:rPr>
        <w:t xml:space="preserve">230 basis points</w:t>
      </w:r>
      <w:r>
        <w:t xml:space="preserve"> </w:t>
      </w:r>
      <w:r>
        <w:t xml:space="preserve">year over year to</w:t>
      </w:r>
      <w:r>
        <w:t xml:space="preserve"> </w:t>
      </w:r>
      <w:r>
        <w:rPr>
          <w:b/>
          <w:bCs/>
        </w:rPr>
        <w:t xml:space="preserve">19.1%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What should work</w:t>
      </w:r>
    </w:p>
    <w:p>
      <w:pPr>
        <w:pStyle w:val="Compact"/>
        <w:numPr>
          <w:ilvl w:val="0"/>
          <w:numId w:val="1007"/>
        </w:numPr>
      </w:pPr>
      <w:r>
        <w:t xml:space="preserve">Mexico retail demand has been strong, and project-related activity has been recovering.</w:t>
      </w:r>
    </w:p>
    <w:p>
      <w:pPr>
        <w:pStyle w:val="Compact"/>
        <w:numPr>
          <w:ilvl w:val="0"/>
          <w:numId w:val="1007"/>
        </w:numPr>
      </w:pPr>
      <w:r>
        <w:t xml:space="preserve">Latin America has been an important growth and margin contributor.</w:t>
      </w:r>
    </w:p>
    <w:p>
      <w:pPr>
        <w:pStyle w:val="Compact"/>
        <w:numPr>
          <w:ilvl w:val="0"/>
          <w:numId w:val="1007"/>
        </w:numPr>
      </w:pPr>
      <w:r>
        <w:t xml:space="preserve">Pricing and ongoing cost actions remain supportive.</w:t>
      </w:r>
    </w:p>
    <w:p>
      <w:pPr>
        <w:pStyle w:val="FirstParagraph"/>
      </w:pPr>
      <w:r>
        <w:rPr>
          <w:b/>
          <w:bCs/>
        </w:rPr>
        <w:t xml:space="preserve">What could limit upside</w:t>
      </w:r>
    </w:p>
    <w:p>
      <w:pPr>
        <w:pStyle w:val="Compact"/>
        <w:numPr>
          <w:ilvl w:val="0"/>
          <w:numId w:val="1008"/>
        </w:numPr>
      </w:pPr>
      <w:r>
        <w:t xml:space="preserve">European architectural demand remains mixed, particularly in Eastern Europe.</w:t>
      </w:r>
    </w:p>
    <w:p>
      <w:pPr>
        <w:pStyle w:val="Compact"/>
        <w:numPr>
          <w:ilvl w:val="0"/>
          <w:numId w:val="1008"/>
        </w:numPr>
      </w:pPr>
      <w:r>
        <w:t xml:space="preserve">PPG plans to close four European manufacturing plants in the second half of 2026. The larger benefits are expected in 2027, though execution and associated cost commentary will matter now.</w:t>
      </w:r>
    </w:p>
    <w:p>
      <w:pPr>
        <w:pStyle w:val="FirstParagraph"/>
      </w:pPr>
      <w:r>
        <w:rPr>
          <w:b/>
          <w:bCs/>
        </w:rPr>
        <w:t xml:space="preserve">Investor takeaway:</w:t>
      </w:r>
      <w:r>
        <w:t xml:space="preserve"> </w:t>
      </w:r>
      <w:r>
        <w:t xml:space="preserve">This segment is likely to remain a positive contributor, but Mexico needs to sustain momentum to offset continued European softness.</w:t>
      </w:r>
    </w:p>
    <w:bookmarkEnd w:id="15"/>
    <w:bookmarkEnd w:id="16"/>
    <w:bookmarkStart w:id="20" w:name="X37322c2952c7e621c25760be289eeaf327c0e23"/>
    <w:p>
      <w:pPr>
        <w:pStyle w:val="Heading2"/>
      </w:pPr>
      <w:r>
        <w:t xml:space="preserve">Guidance is likely more important than the EPS “beat”</w:t>
      </w:r>
    </w:p>
    <w:p>
      <w:pPr>
        <w:pStyle w:val="FirstParagraph"/>
      </w:pPr>
      <w:r>
        <w:t xml:space="preserve">PPG’s current full-year adjusted EPS range of</w:t>
      </w:r>
      <w:r>
        <w:t xml:space="preserve"> </w:t>
      </w:r>
      <m:oMath>
        <m:r>
          <m:t>7.70</m:t>
        </m:r>
        <m:r>
          <m:rPr>
            <m:sty m:val="p"/>
          </m:rPr>
          <m:t>–</m:t>
        </m:r>
      </m:oMath>
      <w:r>
        <w:rPr>
          <w:b/>
          <w:bCs/>
        </w:rPr>
        <w:t xml:space="preserve">8.10</w:t>
      </w:r>
      <w:r>
        <w:t xml:space="preserve"> </w:t>
      </w:r>
      <w:r>
        <w:t xml:space="preserve">is broad enough to accommodate substantial macro uncertainty. For the market, the hierarchy of outcomes is likely:</w:t>
      </w:r>
    </w:p>
    <w:bookmarkStart w:id="17" w:name="bullish-outcome"/>
    <w:p>
      <w:pPr>
        <w:pStyle w:val="Heading3"/>
      </w:pPr>
      <w:r>
        <w:t xml:space="preserve">Bullish outcome</w:t>
      </w:r>
    </w:p>
    <w:p>
      <w:pPr>
        <w:pStyle w:val="Compact"/>
        <w:numPr>
          <w:ilvl w:val="0"/>
          <w:numId w:val="1009"/>
        </w:numPr>
      </w:pPr>
      <w:r>
        <w:t xml:space="preserve">Q2 adjusted EPS at or above the upper end of the implied low-single-digit growth range.</w:t>
      </w:r>
    </w:p>
    <w:p>
      <w:pPr>
        <w:pStyle w:val="Compact"/>
        <w:numPr>
          <w:ilvl w:val="0"/>
          <w:numId w:val="1009"/>
        </w:numPr>
      </w:pPr>
      <w:r>
        <w:t xml:space="preserve">Organic sales above low-single-digit growth.</w:t>
      </w:r>
    </w:p>
    <w:p>
      <w:pPr>
        <w:pStyle w:val="Compact"/>
        <w:numPr>
          <w:ilvl w:val="0"/>
          <w:numId w:val="1009"/>
        </w:numPr>
      </w:pPr>
      <w:r>
        <w:t xml:space="preserve">Clear evidence that pricing is catching up with inflation.</w:t>
      </w:r>
    </w:p>
    <w:p>
      <w:pPr>
        <w:pStyle w:val="Compact"/>
        <w:numPr>
          <w:ilvl w:val="0"/>
          <w:numId w:val="1009"/>
        </w:numPr>
      </w:pPr>
      <w:r>
        <w:t xml:space="preserve">Industrial Coatings margins improve sequentially.</w:t>
      </w:r>
    </w:p>
    <w:p>
      <w:pPr>
        <w:pStyle w:val="Compact"/>
        <w:numPr>
          <w:ilvl w:val="0"/>
          <w:numId w:val="1009"/>
        </w:numPr>
      </w:pPr>
      <w:r>
        <w:t xml:space="preserve">Full-year guidance is reaffirmed, ideally with confidence in the midpoint or upper half.</w:t>
      </w:r>
    </w:p>
    <w:p>
      <w:pPr>
        <w:pStyle w:val="Compact"/>
        <w:numPr>
          <w:ilvl w:val="0"/>
          <w:numId w:val="1009"/>
        </w:numPr>
      </w:pPr>
      <w:r>
        <w:t xml:space="preserve">Management emphasizes accelerating second-half aerospace, refinish and industrial-share-gain momentum.</w:t>
      </w:r>
    </w:p>
    <w:bookmarkEnd w:id="17"/>
    <w:bookmarkStart w:id="18" w:name="neutral-outcome"/>
    <w:p>
      <w:pPr>
        <w:pStyle w:val="Heading3"/>
      </w:pPr>
      <w:r>
        <w:t xml:space="preserve">Neutral outcome</w:t>
      </w:r>
    </w:p>
    <w:p>
      <w:pPr>
        <w:pStyle w:val="Compact"/>
        <w:numPr>
          <w:ilvl w:val="0"/>
          <w:numId w:val="1010"/>
        </w:numPr>
      </w:pPr>
      <w:r>
        <w:t xml:space="preserve">Q2 results are broadly in line: roughly flat to modest EPS growth on flat to low-single-digit organic growth.</w:t>
      </w:r>
    </w:p>
    <w:p>
      <w:pPr>
        <w:pStyle w:val="Compact"/>
        <w:numPr>
          <w:ilvl w:val="0"/>
          <w:numId w:val="1010"/>
        </w:numPr>
      </w:pPr>
      <w:r>
        <w:t xml:space="preserve">Guidance is reaffirmed, but management remains cautious on raw materials, energy, Europe and industrial demand.</w:t>
      </w:r>
    </w:p>
    <w:p>
      <w:pPr>
        <w:pStyle w:val="Compact"/>
        <w:numPr>
          <w:ilvl w:val="0"/>
          <w:numId w:val="1010"/>
        </w:numPr>
      </w:pPr>
      <w:r>
        <w:t xml:space="preserve">Pricing progress is visible but still incomplete.</w:t>
      </w:r>
    </w:p>
    <w:bookmarkEnd w:id="18"/>
    <w:bookmarkStart w:id="19" w:name="bearish-outcome"/>
    <w:p>
      <w:pPr>
        <w:pStyle w:val="Heading3"/>
      </w:pPr>
      <w:r>
        <w:t xml:space="preserve">Bearish outcome</w:t>
      </w:r>
    </w:p>
    <w:p>
      <w:pPr>
        <w:pStyle w:val="Compact"/>
        <w:numPr>
          <w:ilvl w:val="0"/>
          <w:numId w:val="1011"/>
        </w:numPr>
      </w:pPr>
      <w:r>
        <w:t xml:space="preserve">Inflation outruns realized pricing, producing margin compression.</w:t>
      </w:r>
    </w:p>
    <w:p>
      <w:pPr>
        <w:pStyle w:val="Compact"/>
        <w:numPr>
          <w:ilvl w:val="0"/>
          <w:numId w:val="1011"/>
        </w:numPr>
      </w:pPr>
      <w:r>
        <w:t xml:space="preserve">Refinish weakness is worse than anticipated or aerospace momentum slows.</w:t>
      </w:r>
    </w:p>
    <w:p>
      <w:pPr>
        <w:pStyle w:val="Compact"/>
        <w:numPr>
          <w:ilvl w:val="0"/>
          <w:numId w:val="1011"/>
        </w:numPr>
      </w:pPr>
      <w:r>
        <w:t xml:space="preserve">Industrial margins fail to recover from Q1 levels.</w:t>
      </w:r>
    </w:p>
    <w:p>
      <w:pPr>
        <w:pStyle w:val="Compact"/>
        <w:numPr>
          <w:ilvl w:val="0"/>
          <w:numId w:val="1011"/>
        </w:numPr>
      </w:pPr>
      <w:r>
        <w:t xml:space="preserve">Management narrows guidance toward the low end or reduces the range.</w:t>
      </w:r>
    </w:p>
    <w:p>
      <w:pPr>
        <w:pStyle w:val="Compact"/>
        <w:numPr>
          <w:ilvl w:val="0"/>
          <w:numId w:val="1011"/>
        </w:numPr>
      </w:pPr>
      <w:r>
        <w:t xml:space="preserve">The company pushes out the timing of price/cost recovery or identifies more material volume loss from pricing.</w:t>
      </w:r>
    </w:p>
    <w:bookmarkEnd w:id="19"/>
    <w:bookmarkEnd w:id="20"/>
    <w:bookmarkStart w:id="21" w:name="X9163c0c32565fedaa50fff1161a71c5d2eb225b"/>
    <w:p>
      <w:pPr>
        <w:pStyle w:val="Heading2"/>
      </w:pPr>
      <w:r>
        <w:t xml:space="preserve">Cash flow, capital allocation and balance sheet</w:t>
      </w:r>
    </w:p>
    <w:p>
      <w:pPr>
        <w:pStyle w:val="FirstParagraph"/>
      </w:pPr>
      <w:r>
        <w:t xml:space="preserve">PPG ended Q1 with approximately</w:t>
      </w:r>
      <w:r>
        <w:t xml:space="preserve"> </w:t>
      </w:r>
      <m:oMath>
        <m:r>
          <m:t>1.6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c</m:t>
        </m:r>
        <m:r>
          <m:t>a</m:t>
        </m:r>
        <m:r>
          <m:t>s</m:t>
        </m:r>
        <m:r>
          <m:t>h</m:t>
        </m:r>
        <m:r>
          <m:t>a</m:t>
        </m:r>
        <m:r>
          <m:t>n</m:t>
        </m:r>
        <m:r>
          <m:t>d</m:t>
        </m:r>
        <m:r>
          <m:t>s</m:t>
        </m:r>
        <m:r>
          <m:t>h</m:t>
        </m:r>
        <m:r>
          <m:t>o</m:t>
        </m:r>
        <m:r>
          <m:t>r</m:t>
        </m:r>
        <m:r>
          <m:t>t</m:t>
        </m:r>
        <m:r>
          <m:rPr>
            <m:sty m:val="p"/>
          </m:rPr>
          <m:t>−</m:t>
        </m:r>
        <m:r>
          <m:t>t</m:t>
        </m:r>
        <m:r>
          <m:t>e</m:t>
        </m:r>
        <m:r>
          <m:t>r</m:t>
        </m:r>
        <m:r>
          <m:t>m</m:t>
        </m:r>
        <m:r>
          <m:t>i</m:t>
        </m:r>
        <m:r>
          <m:t>n</m:t>
        </m:r>
        <m:r>
          <m:t>v</m:t>
        </m:r>
        <m:r>
          <m:t>e</m:t>
        </m:r>
        <m:r>
          <m:t>s</m:t>
        </m:r>
        <m:r>
          <m:t>t</m:t>
        </m:r>
        <m:r>
          <m:t>m</m:t>
        </m:r>
        <m:r>
          <m:t>e</m:t>
        </m:r>
        <m:r>
          <m:t>n</m:t>
        </m:r>
        <m:r>
          <m:t>t</m:t>
        </m:r>
        <m:r>
          <m:t>s</m:t>
        </m:r>
        <m:r>
          <m:t>a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5.5 billion</w:t>
      </w:r>
      <w:r>
        <w:t xml:space="preserve"> </w:t>
      </w:r>
      <w:r>
        <w:t xml:space="preserve">of net debt. It repaid a</w:t>
      </w:r>
      <w:r>
        <w:t xml:space="preserve"> </w:t>
      </w:r>
      <m:oMath>
        <m:r>
          <m:t>700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b</m:t>
        </m:r>
        <m:r>
          <m:t>o</m:t>
        </m:r>
        <m:r>
          <m:t>n</m:t>
        </m:r>
        <m:r>
          <m:t>d</m:t>
        </m:r>
        <m:r>
          <m:t>m</m:t>
        </m:r>
        <m:r>
          <m:t>a</m:t>
        </m:r>
        <m:r>
          <m:t>t</m:t>
        </m:r>
        <m:r>
          <m:t>u</m:t>
        </m:r>
        <m:r>
          <m:t>r</m:t>
        </m:r>
        <m:r>
          <m:t>i</m:t>
        </m:r>
        <m:r>
          <m:t>t</m:t>
        </m:r>
        <m:r>
          <m:t>y</m:t>
        </m:r>
        <m:r>
          <m:t>d</m:t>
        </m:r>
        <m:r>
          <m:t>u</m:t>
        </m:r>
        <m:r>
          <m:t>r</m:t>
        </m:r>
        <m:r>
          <m:t>i</m:t>
        </m:r>
        <m:r>
          <m:t>n</m:t>
        </m:r>
        <m:r>
          <m:t>g</m:t>
        </m:r>
        <m:r>
          <m:t>t</m:t>
        </m:r>
        <m:r>
          <m:t>h</m:t>
        </m:r>
        <m:r>
          <m:t>e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rPr>
            <m:sty m:val="p"/>
          </m:rPr>
          <m:t>,</m:t>
        </m:r>
        <m:r>
          <m:t>r</m:t>
        </m:r>
        <m:r>
          <m:t>e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e</m:t>
        </m:r>
        <m:r>
          <m:t>d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100 million</w:t>
      </w:r>
      <w:r>
        <w:t xml:space="preserve"> </w:t>
      </w:r>
      <w:r>
        <w:t xml:space="preserve">of stock, and paid dividends of about</w:t>
      </w:r>
      <w:r>
        <w:t xml:space="preserve"> </w:t>
      </w:r>
      <w:r>
        <w:rPr>
          <w:b/>
          <w:bCs/>
        </w:rPr>
        <w:t xml:space="preserve">$159 million</w:t>
      </w:r>
      <w:r>
        <w:t xml:space="preserve">.</w:t>
      </w:r>
    </w:p>
    <w:p>
      <w:pPr>
        <w:pStyle w:val="BodyText"/>
      </w:pPr>
      <w:r>
        <w:t xml:space="preserve">For 2026, the company expects approximately</w:t>
      </w:r>
      <w:r>
        <w:t xml:space="preserve"> </w:t>
      </w:r>
      <m:oMath>
        <m:r>
          <m:t>650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700 million</w:t>
      </w:r>
      <w:r>
        <w:t xml:space="preserve"> </w:t>
      </w:r>
      <w:r>
        <w:t xml:space="preserve">of capital expenditure, with much of the strategic spend directed toward aerospace capacity and other organic growth opportunities. Management’s longer-term cash-flow target is roughly</w:t>
      </w:r>
      <w:r>
        <w:t xml:space="preserve"> </w:t>
      </w:r>
      <w:r>
        <w:rPr>
          <w:b/>
          <w:bCs/>
        </w:rPr>
        <w:t xml:space="preserve">10% of sales</w:t>
      </w:r>
      <w:r>
        <w:t xml:space="preserve">.</w:t>
      </w:r>
    </w:p>
    <w:p>
      <w:pPr>
        <w:pStyle w:val="BodyText"/>
      </w:pPr>
      <w:r>
        <w:t xml:space="preserve">The near-term investor question is whether elevated working capital and capex are temporary investments supporting growth, or whether they become a more persistent drag on free cash flow. A constructive Q2 update would show seasonal cash conversion, working-capital discipline and continued capacity investment without a change in shareholder-return priorities.</w:t>
      </w:r>
    </w:p>
    <w:bookmarkEnd w:id="21"/>
    <w:bookmarkStart w:id="22" w:name="stock-setup"/>
    <w:p>
      <w:pPr>
        <w:pStyle w:val="Heading2"/>
      </w:pPr>
      <w:r>
        <w:t xml:space="preserve">Stock setup</w:t>
      </w:r>
    </w:p>
    <w:p>
      <w:pPr>
        <w:pStyle w:val="FirstParagraph"/>
      </w:pPr>
      <w:r>
        <w:t xml:space="preserve">PPG’s latest indicated share price was approximately</w:t>
      </w:r>
      <w:r>
        <w:t xml:space="preserve"> </w:t>
      </w:r>
      <m:oMath>
        <m:r>
          <m:t>118.47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n</m:t>
        </m:r>
        <m:r>
          <m:t>J</m:t>
        </m:r>
        <m:r>
          <m:t>u</m:t>
        </m:r>
        <m:r>
          <m:t>l</m:t>
        </m:r>
        <m:r>
          <m:t>y</m:t>
        </m:r>
        <m:r>
          <m:t>28</m:t>
        </m:r>
        <m:r>
          <m:rPr>
            <m:sty m:val="p"/>
          </m:rPr>
          <m:t>,</m:t>
        </m:r>
        <m:r>
          <m:t>v</m:t>
        </m:r>
        <m:r>
          <m:t>e</m:t>
        </m:r>
        <m:r>
          <m:t>r</m:t>
        </m:r>
        <m:r>
          <m:t>s</m:t>
        </m:r>
        <m:r>
          <m:t>u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104.35</w:t>
      </w:r>
      <w:r>
        <w:t xml:space="preserve"> </w:t>
      </w:r>
      <w:r>
        <w:t xml:space="preserve">at the start of 2026—a gain of roughly</w:t>
      </w:r>
      <w:r>
        <w:t xml:space="preserve"> </w:t>
      </w:r>
      <w:r>
        <w:rPr>
          <w:b/>
          <w:bCs/>
        </w:rPr>
        <w:t xml:space="preserve">13.5%</w:t>
      </w:r>
      <w:r>
        <w:t xml:space="preserve"> </w:t>
      </w:r>
      <w:r>
        <w:t xml:space="preserve">year to date. The shares have recovered meaningfully from their March lows but remain exposed to an earnings event where expectations center on margin durability rather than simply sales growth.</w:t>
      </w:r>
    </w:p>
    <w:p>
      <w:pPr>
        <w:pStyle w:val="BodyText"/>
      </w:pPr>
      <w:r>
        <w:t xml:space="preserve">That setup suggests investors may be less forgiving of:</w:t>
      </w:r>
    </w:p>
    <w:p>
      <w:pPr>
        <w:pStyle w:val="Compact"/>
        <w:numPr>
          <w:ilvl w:val="0"/>
          <w:numId w:val="1012"/>
        </w:numPr>
      </w:pPr>
      <w:r>
        <w:t xml:space="preserve">a guide-down,</w:t>
      </w:r>
    </w:p>
    <w:p>
      <w:pPr>
        <w:pStyle w:val="Compact"/>
        <w:numPr>
          <w:ilvl w:val="0"/>
          <w:numId w:val="1012"/>
        </w:numPr>
      </w:pPr>
      <w:r>
        <w:t xml:space="preserve">an inflation-driven margin reset,</w:t>
      </w:r>
    </w:p>
    <w:p>
      <w:pPr>
        <w:pStyle w:val="Compact"/>
        <w:numPr>
          <w:ilvl w:val="0"/>
          <w:numId w:val="1012"/>
        </w:numPr>
      </w:pPr>
      <w:r>
        <w:t xml:space="preserve">or evidence that the second-half recovery in refinish and Industrial Coatings is less reliable than management has indicated.</w:t>
      </w:r>
    </w:p>
    <w:bookmarkEnd w:id="22"/>
    <w:bookmarkStart w:id="23" w:name="questions-for-management"/>
    <w:p>
      <w:pPr>
        <w:pStyle w:val="Heading2"/>
      </w:pPr>
      <w:r>
        <w:t xml:space="preserve">Questions for management</w:t>
      </w:r>
    </w:p>
    <w:p>
      <w:pPr>
        <w:pStyle w:val="Compact"/>
        <w:numPr>
          <w:ilvl w:val="0"/>
          <w:numId w:val="1013"/>
        </w:numPr>
      </w:pPr>
      <w:r>
        <w:t xml:space="preserve">How much pricing was realized in Q2, by segment, and how does it compare with raw-material, energy, logistics and packaging inflation?</w:t>
      </w:r>
    </w:p>
    <w:p>
      <w:pPr>
        <w:pStyle w:val="Compact"/>
        <w:numPr>
          <w:ilvl w:val="0"/>
          <w:numId w:val="1013"/>
        </w:numPr>
      </w:pPr>
      <w:r>
        <w:t xml:space="preserve">Does PPG still expect price/cost neutrality around early 2027, or has the timeline changed?</w:t>
      </w:r>
    </w:p>
    <w:p>
      <w:pPr>
        <w:pStyle w:val="Compact"/>
        <w:numPr>
          <w:ilvl w:val="0"/>
          <w:numId w:val="1013"/>
        </w:numPr>
      </w:pPr>
      <w:r>
        <w:t xml:space="preserve">Are aerospace backlog, output and capacity-expansion plans proceeding as expected?</w:t>
      </w:r>
    </w:p>
    <w:p>
      <w:pPr>
        <w:pStyle w:val="Compact"/>
        <w:numPr>
          <w:ilvl w:val="0"/>
          <w:numId w:val="1013"/>
        </w:numPr>
      </w:pPr>
      <w:r>
        <w:t xml:space="preserve">Has automotive-refinish distributor replenishment improved sequentially, and does management still expect second-half volume growth?</w:t>
      </w:r>
    </w:p>
    <w:p>
      <w:pPr>
        <w:pStyle w:val="Compact"/>
        <w:numPr>
          <w:ilvl w:val="0"/>
          <w:numId w:val="1013"/>
        </w:numPr>
      </w:pPr>
      <w:r>
        <w:t xml:space="preserve">Did Industrial Coatings margin improve sequentially, particularly in China auto OEM and index-priced businesses?</w:t>
      </w:r>
    </w:p>
    <w:p>
      <w:pPr>
        <w:pStyle w:val="Compact"/>
        <w:numPr>
          <w:ilvl w:val="0"/>
          <w:numId w:val="1013"/>
        </w:numPr>
      </w:pPr>
      <w:r>
        <w:t xml:space="preserve">Are packaging and auto-OEM share gains tracking to plan?</w:t>
      </w:r>
    </w:p>
    <w:p>
      <w:pPr>
        <w:pStyle w:val="Compact"/>
        <w:numPr>
          <w:ilvl w:val="0"/>
          <w:numId w:val="1013"/>
        </w:numPr>
      </w:pPr>
      <w:r>
        <w:t xml:space="preserve">What is the latest outlook for Mexico project activity and European architectural demand?</w:t>
      </w:r>
    </w:p>
    <w:p>
      <w:pPr>
        <w:pStyle w:val="Compact"/>
        <w:numPr>
          <w:ilvl w:val="0"/>
          <w:numId w:val="1013"/>
        </w:numPr>
      </w:pPr>
      <w:r>
        <w:t xml:space="preserve">Is the</w:t>
      </w:r>
      <w:r>
        <w:t xml:space="preserve"> </w:t>
      </w:r>
      <m:oMath>
        <m:r>
          <m:t>7.70</m:t>
        </m:r>
        <m:r>
          <m:rPr>
            <m:sty m:val="p"/>
          </m:rPr>
          <m:t>–</m:t>
        </m:r>
      </m:oMath>
      <w:r>
        <w:rPr>
          <w:b/>
          <w:bCs/>
        </w:rPr>
        <w:t xml:space="preserve">8.10</w:t>
      </w:r>
      <w:r>
        <w:t xml:space="preserve"> </w:t>
      </w:r>
      <w:r>
        <w:t xml:space="preserve">full-year adjusted EPS range still intact, and where within the range does management currently see the most risk?</w:t>
      </w:r>
    </w:p>
    <w:bookmarkEnd w:id="23"/>
    <w:bookmarkStart w:id="24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PPG’s Q2 report is a</w:t>
      </w:r>
      <w:r>
        <w:t xml:space="preserve"> </w:t>
      </w:r>
      <w:r>
        <w:rPr>
          <w:b/>
          <w:bCs/>
        </w:rPr>
        <w:t xml:space="preserve">margin-and-guidance event</w:t>
      </w:r>
      <w:r>
        <w:t xml:space="preserve">. The company has credible internal growth drivers—especially aerospace, protective &amp; marine, packaging, Mexico, share gains and restructuring—but its ability to protect 2026 earnings depends on rapidly translating announced price actions into realized price before elevated input costs pressure margins.</w:t>
      </w:r>
    </w:p>
    <w:p>
      <w:pPr>
        <w:pStyle w:val="BodyText"/>
      </w:pPr>
      <w:r>
        <w:t xml:space="preserve">A reaffirmation of the</w:t>
      </w:r>
      <w:r>
        <w:t xml:space="preserve"> </w:t>
      </w:r>
      <m:oMath>
        <m:r>
          <m:t>7.70</m:t>
        </m:r>
        <m:r>
          <m:rPr>
            <m:sty m:val="p"/>
          </m:rPr>
          <m:t>–</m:t>
        </m:r>
      </m:oMath>
      <w:r>
        <w:rPr>
          <w:b/>
          <w:bCs/>
        </w:rPr>
        <w:t xml:space="preserve">8.10</w:t>
      </w:r>
      <w:r>
        <w:t xml:space="preserve"> </w:t>
      </w:r>
      <w:r>
        <w:t xml:space="preserve">full-year adjusted EPS outlook, supported by tangible progress on price/cost and a sequential Industrial Coatings recovery, would validate the second-half improvement case. The principal risk is that volatile petrochemical and logistics costs create a longer or more costly lag than management has embedded in its current framework.</w:t>
      </w:r>
    </w:p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2026-07-28T01:39:38Z</dcterms:created>
  <dcterms:modified xsi:type="dcterms:W3CDTF">2026-07-28T01:39:38Z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