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PPG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PPG Industries, Inc. (NYSE: PPG)</w:t>
            </w:r>
          </w:p>
        </w:tc>
      </w:tr>
      <w:tr>
        <w:tc>
          <w:tcPr>
            <w:tcW w:type="dxa" w:w="4320"/>
          </w:tcPr>
          <w:p>
            <w:r>
              <w:rPr>
                <w:rFonts w:ascii="Calibri" w:hAnsi="Calibri"/>
                <w:b/>
                <w:sz w:val="22"/>
              </w:rPr>
              <w:t>Upcoming Earnings Date</w:t>
            </w:r>
          </w:p>
        </w:tc>
        <w:tc>
          <w:tcPr>
            <w:tcW w:type="dxa" w:w="4320"/>
          </w:tcPr>
          <w:p>
            <w:r>
              <w:rPr>
                <w:rFonts w:ascii="Calibri" w:hAnsi="Calibri"/>
                <w:sz w:val="22"/>
              </w:rPr>
              <w:t>July 28,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XLB (Materials Select Sector SPDR)</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into PPG's Q2 2026 print is a </w:t>
      </w:r>
      <w:r>
        <w:rPr>
          <w:rFonts w:ascii="Calibri" w:hAnsi="Calibri"/>
          <w:b/>
          <w:color w:val="525866"/>
          <w:sz w:val="22"/>
        </w:rPr>
        <w:t>modestly low bar with asymmetric upside</w:t>
      </w:r>
      <w:r>
        <w:rPr>
          <w:rFonts w:ascii="Calibri" w:hAnsi="Calibri"/>
          <w:color w:val="525866"/>
          <w:sz w:val="22"/>
        </w:rPr>
        <w:t xml:space="preserve"> — consensus EPS of ~$2.24 sits at the high end of management's flat-to-low-single-digit growth guidance, but the real swing factor is whether </w:t>
      </w:r>
      <w:r>
        <w:rPr>
          <w:rFonts w:ascii="Calibri" w:hAnsi="Calibri"/>
          <w:b/>
          <w:color w:val="525866"/>
          <w:sz w:val="22"/>
        </w:rPr>
        <w:t>automotive refinish volume recovery and raw material price/cost neutrality</w:t>
      </w:r>
      <w:r>
        <w:rPr>
          <w:rFonts w:ascii="Calibri" w:hAnsi="Calibri"/>
          <w:color w:val="525866"/>
          <w:sz w:val="22"/>
        </w:rPr>
        <w:t xml:space="preserve"> arrive faster than the Street expects.</w:t>
      </w:r>
    </w:p>
    <w:p>
      <w:r>
        <w:rPr>
          <w:rFonts w:ascii="Calibri" w:hAnsi="Calibri"/>
          <w:color w:val="525866"/>
          <w:sz w:val="22"/>
        </w:rPr>
        <w:t xml:space="preserve">Heading into Q2 2026, PPG's consensus adjusted EPS of ~$2.24 implies roughly 1% growth versus the prior-year period of $2.22, sitting at the upper bound of management's "flat to low single-digit" guidance range — a bar that is achievable but not generous. Management's tone on the April 28 Q1 call was constructively cautious: they reaffirmed full-year EPS guidance of $7.70–$8.10 while flagging a </w:t>
      </w:r>
      <w:r>
        <w:rPr>
          <w:rFonts w:ascii="Calibri" w:hAnsi="Calibri"/>
          <w:b/>
          <w:color w:val="525866"/>
          <w:sz w:val="22"/>
        </w:rPr>
        <w:t>mid-single-digit COGS headwind</w:t>
      </w:r>
      <w:r>
        <w:rPr>
          <w:rFonts w:ascii="Calibri" w:hAnsi="Calibri"/>
          <w:color w:val="525866"/>
          <w:sz w:val="22"/>
        </w:rPr>
        <w:t xml:space="preserve"> from geopolitical-driven raw material, energy, and logistics inflation (Iran conflict), offset by proactive global price increases of up to 20% and faster pricing cycle execution than prior inflationary episodes. Estimate revisions have been essentially flat since the Q1 print — the 2Q 2026 EPS consensus moved only from ~$2.25 to ~$2.24 — suggesting the Street has largely digested the guidance and is not pricing in meaningful upside or downside. The stock has rallied ~10% since the April 28 earnings date (from $107.68 to ~$118.47), outperforming XLB but broadly in line with the S&amp;P 500, implying the market has already partially re-rated PPG on the H2 recovery thesis without a confirmed inflection. The key wildcard is </w:t>
      </w:r>
      <w:r>
        <w:rPr>
          <w:rFonts w:ascii="Calibri" w:hAnsi="Calibri"/>
          <w:b/>
          <w:color w:val="525866"/>
          <w:sz w:val="22"/>
        </w:rPr>
        <w:t>automotive refinish volume</w:t>
      </w:r>
      <w:r>
        <w:rPr>
          <w:rFonts w:ascii="Calibri" w:hAnsi="Calibri"/>
          <w:color w:val="525866"/>
          <w:sz w:val="22"/>
        </w:rPr>
        <w:t>: U.S. industry accident claims improved to near-flat declines in February and March (down only ~1% YoY), and distributor fulfillment orders are sequentially improving — if this trend continued through April–June, refinish volumes could surprise to the upside in Q2 and provide a meaningful positive read-through for H2 2026 margin leverage.</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modestly achievable bar</w:t>
      </w:r>
      <w:r>
        <w:rPr>
          <w:rFonts w:ascii="Calibri" w:hAnsi="Calibri"/>
          <w:color w:val="525866"/>
          <w:sz w:val="22"/>
        </w:rPr>
        <w:t xml:space="preserve"> on both revenue (~$4.36B, +4% YoY) and adjusted EPS (~$2.24, +1% YoY); the bigger swing factor is </w:t>
      </w:r>
      <w:r>
        <w:rPr>
          <w:rFonts w:ascii="Calibri" w:hAnsi="Calibri"/>
          <w:b/>
          <w:color w:val="525866"/>
          <w:sz w:val="22"/>
        </w:rPr>
        <w:t>segment EBITDA margin</w:t>
      </w:r>
      <w:r>
        <w:rPr>
          <w:rFonts w:ascii="Calibri" w:hAnsi="Calibri"/>
          <w:color w:val="525866"/>
          <w:sz w:val="22"/>
        </w:rPr>
        <w:t xml:space="preserve"> — particularly whether Industrial Coatings recovers sequentially as China auto comparisons ease and whether Performance Coatings benefits from early refinish normalization.</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($B)</w:t>
            </w:r>
          </w:p>
        </w:tc>
        <w:tc>
          <w:tcPr>
            <w:tcW w:type="dxa" w:w="1234"/>
          </w:tcPr>
          <w:p>
            <w:r>
              <w:rPr>
                <w:rFonts w:ascii="Calibri" w:hAnsi="Calibri"/>
                <w:sz w:val="22"/>
              </w:rPr>
              <w:t>$3.93B</w:t>
            </w:r>
          </w:p>
        </w:tc>
        <w:tc>
          <w:tcPr>
            <w:tcW w:type="dxa" w:w="1234"/>
          </w:tcPr>
          <w:p>
            <w:r>
              <w:rPr>
                <w:rFonts w:ascii="Calibri" w:hAnsi="Calibri"/>
                <w:sz w:val="22"/>
              </w:rPr>
              <w:t>$4.195B</w:t>
            </w:r>
          </w:p>
        </w:tc>
        <w:tc>
          <w:tcPr>
            <w:tcW w:type="dxa" w:w="1234"/>
          </w:tcPr>
          <w:p>
            <w:r>
              <w:rPr>
                <w:rFonts w:ascii="Calibri" w:hAnsi="Calibri"/>
                <w:sz w:val="22"/>
              </w:rPr>
              <w:t>$4.356B</w:t>
            </w:r>
          </w:p>
        </w:tc>
        <w:tc>
          <w:tcPr>
            <w:tcW w:type="dxa" w:w="1234"/>
          </w:tcPr>
          <w:p>
            <w:r>
              <w:rPr>
                <w:rFonts w:ascii="Calibri" w:hAnsi="Calibri"/>
                <w:sz w:val="22"/>
              </w:rPr>
              <w:t>+3.8%</w:t>
            </w:r>
          </w:p>
        </w:tc>
        <w:tc>
          <w:tcPr>
            <w:tcW w:type="dxa" w:w="1234"/>
          </w:tcPr>
          <w:p>
            <w:r>
              <w:rPr>
                <w:rFonts w:ascii="Calibri" w:hAnsi="Calibri"/>
                <w:sz w:val="22"/>
              </w:rPr>
              <w:t>Flat to low-single-digit organic growth</w:t>
            </w:r>
          </w:p>
        </w:tc>
        <w:tc>
          <w:tcPr>
            <w:tcW w:type="dxa" w:w="1234"/>
          </w:tcPr>
          <w:p>
            <w:r>
              <w:rPr>
                <w:rFonts w:ascii="Calibri" w:hAnsi="Calibri"/>
                <w:sz w:val="22"/>
              </w:rPr>
              <w:t>At high end of guidance range</w:t>
            </w:r>
          </w:p>
        </w:tc>
      </w:tr>
      <w:tr>
        <w:tc>
          <w:tcPr>
            <w:tcW w:type="dxa" w:w="1234"/>
          </w:tcPr>
          <w:p>
            <w:r>
              <w:rPr>
                <w:rFonts w:ascii="Calibri" w:hAnsi="Calibri"/>
                <w:sz w:val="22"/>
              </w:rPr>
              <w:t>Adj. EPS - Diluted - Operating ($)</w:t>
            </w:r>
          </w:p>
        </w:tc>
        <w:tc>
          <w:tcPr>
            <w:tcW w:type="dxa" w:w="1234"/>
          </w:tcPr>
          <w:p>
            <w:r>
              <w:rPr>
                <w:rFonts w:ascii="Calibri" w:hAnsi="Calibri"/>
                <w:sz w:val="22"/>
              </w:rPr>
              <w:t>$1.83</w:t>
            </w:r>
          </w:p>
        </w:tc>
        <w:tc>
          <w:tcPr>
            <w:tcW w:type="dxa" w:w="1234"/>
          </w:tcPr>
          <w:p>
            <w:r>
              <w:rPr>
                <w:rFonts w:ascii="Calibri" w:hAnsi="Calibri"/>
                <w:sz w:val="22"/>
              </w:rPr>
              <w:t>$2.22</w:t>
            </w:r>
          </w:p>
        </w:tc>
        <w:tc>
          <w:tcPr>
            <w:tcW w:type="dxa" w:w="1234"/>
          </w:tcPr>
          <w:p>
            <w:r>
              <w:rPr>
                <w:rFonts w:ascii="Calibri" w:hAnsi="Calibri"/>
                <w:sz w:val="22"/>
              </w:rPr>
              <w:t>$2.24</w:t>
            </w:r>
          </w:p>
        </w:tc>
        <w:tc>
          <w:tcPr>
            <w:tcW w:type="dxa" w:w="1234"/>
          </w:tcPr>
          <w:p>
            <w:r>
              <w:rPr>
                <w:rFonts w:ascii="Calibri" w:hAnsi="Calibri"/>
                <w:sz w:val="22"/>
              </w:rPr>
              <w:t>+1.0%</w:t>
            </w:r>
          </w:p>
        </w:tc>
        <w:tc>
          <w:tcPr>
            <w:tcW w:type="dxa" w:w="1234"/>
          </w:tcPr>
          <w:p>
            <w:r>
              <w:rPr>
                <w:rFonts w:ascii="Calibri" w:hAnsi="Calibri"/>
                <w:sz w:val="22"/>
              </w:rPr>
              <w:t>Flat to low-single-digit % growth vs. prior year</w:t>
            </w:r>
          </w:p>
        </w:tc>
        <w:tc>
          <w:tcPr>
            <w:tcW w:type="dxa" w:w="1234"/>
          </w:tcPr>
          <w:p>
            <w:r>
              <w:rPr>
                <w:rFonts w:ascii="Calibri" w:hAnsi="Calibri"/>
                <w:sz w:val="22"/>
              </w:rPr>
              <w:t>At high end of guidance range</w:t>
            </w:r>
          </w:p>
        </w:tc>
      </w:tr>
      <w:tr>
        <w:tc>
          <w:tcPr>
            <w:tcW w:type="dxa" w:w="1234"/>
          </w:tcPr>
          <w:p>
            <w:r>
              <w:rPr>
                <w:rFonts w:ascii="Calibri" w:hAnsi="Calibri"/>
                <w:sz w:val="22"/>
              </w:rPr>
              <w:t>Organic Growth - Total (%)</w:t>
            </w:r>
          </w:p>
        </w:tc>
        <w:tc>
          <w:tcPr>
            <w:tcW w:type="dxa" w:w="1234"/>
          </w:tcPr>
          <w:p>
            <w:r>
              <w:rPr>
                <w:rFonts w:ascii="Calibri" w:hAnsi="Calibri"/>
                <w:sz w:val="22"/>
              </w:rPr>
              <w:t>+0.9%</w:t>
            </w:r>
          </w:p>
        </w:tc>
        <w:tc>
          <w:tcPr>
            <w:tcW w:type="dxa" w:w="1234"/>
          </w:tcPr>
          <w:p>
            <w:r>
              <w:rPr>
                <w:rFonts w:ascii="Calibri" w:hAnsi="Calibri"/>
                <w:sz w:val="22"/>
              </w:rPr>
              <w:t>+1.8%</w:t>
            </w:r>
          </w:p>
        </w:tc>
        <w:tc>
          <w:tcPr>
            <w:tcW w:type="dxa" w:w="1234"/>
          </w:tcPr>
          <w:p>
            <w:r>
              <w:rPr>
                <w:rFonts w:ascii="Calibri" w:hAnsi="Calibri"/>
                <w:sz w:val="22"/>
              </w:rPr>
              <w:t>+2.0%</w:t>
            </w:r>
          </w:p>
        </w:tc>
        <w:tc>
          <w:tcPr>
            <w:tcW w:type="dxa" w:w="1234"/>
          </w:tcPr>
          <w:p>
            <w:r>
              <w:rPr>
                <w:rFonts w:ascii="Calibri" w:hAnsi="Calibri"/>
                <w:sz w:val="22"/>
              </w:rPr>
              <w:t>+20 bps YoY</w:t>
            </w:r>
          </w:p>
        </w:tc>
        <w:tc>
          <w:tcPr>
            <w:tcW w:type="dxa" w:w="1234"/>
          </w:tcPr>
          <w:p>
            <w:r>
              <w:rPr>
                <w:rFonts w:ascii="Calibri" w:hAnsi="Calibri"/>
                <w:sz w:val="22"/>
              </w:rPr>
              <w:t>Flat to low-single-digit organic growth</w:t>
            </w:r>
          </w:p>
        </w:tc>
        <w:tc>
          <w:tcPr>
            <w:tcW w:type="dxa" w:w="1234"/>
          </w:tcPr>
          <w:p>
            <w:r>
              <w:rPr>
                <w:rFonts w:ascii="Calibri" w:hAnsi="Calibri"/>
                <w:sz w:val="22"/>
              </w:rPr>
              <w:t>At high end of guidance range</w:t>
            </w:r>
          </w:p>
        </w:tc>
      </w:tr>
      <w:tr>
        <w:tc>
          <w:tcPr>
            <w:tcW w:type="dxa" w:w="1234"/>
          </w:tcPr>
          <w:p>
            <w:r>
              <w:rPr>
                <w:rFonts w:ascii="Calibri" w:hAnsi="Calibri"/>
                <w:sz w:val="22"/>
              </w:rPr>
              <w:t>EBITDA - Operating ($M)</w:t>
            </w:r>
          </w:p>
        </w:tc>
        <w:tc>
          <w:tcPr>
            <w:tcW w:type="dxa" w:w="1234"/>
          </w:tcPr>
          <w:p>
            <w:r>
              <w:rPr>
                <w:rFonts w:ascii="Calibri" w:hAnsi="Calibri"/>
                <w:sz w:val="22"/>
              </w:rPr>
              <w:t>$681M</w:t>
            </w:r>
          </w:p>
        </w:tc>
        <w:tc>
          <w:tcPr>
            <w:tcW w:type="dxa" w:w="1234"/>
          </w:tcPr>
          <w:p>
            <w:r>
              <w:rPr>
                <w:rFonts w:ascii="Calibri" w:hAnsi="Calibri"/>
                <w:sz w:val="22"/>
              </w:rPr>
              <w:t>$778M</w:t>
            </w:r>
          </w:p>
        </w:tc>
        <w:tc>
          <w:tcPr>
            <w:tcW w:type="dxa" w:w="1234"/>
          </w:tcPr>
          <w:p>
            <w:r>
              <w:rPr>
                <w:rFonts w:ascii="Calibri" w:hAnsi="Calibri"/>
                <w:sz w:val="22"/>
              </w:rPr>
              <w:t>$798M</w:t>
            </w:r>
          </w:p>
        </w:tc>
        <w:tc>
          <w:tcPr>
            <w:tcW w:type="dxa" w:w="1234"/>
          </w:tcPr>
          <w:p>
            <w:r>
              <w:rPr>
                <w:rFonts w:ascii="Calibri" w:hAnsi="Calibri"/>
                <w:sz w:val="22"/>
              </w:rPr>
              <w:t>+2.6%</w:t>
            </w:r>
          </w:p>
        </w:tc>
        <w:tc>
          <w:tcPr>
            <w:tcW w:type="dxa" w:w="1234"/>
          </w:tcPr>
          <w:p>
            <w:r>
              <w:rPr>
                <w:rFonts w:ascii="Calibri" w:hAnsi="Calibri"/>
                <w:sz w:val="22"/>
              </w:rPr>
              <w:t>Implied by EPS guidance</w:t>
            </w:r>
          </w:p>
        </w:tc>
        <w:tc>
          <w:tcPr>
            <w:tcW w:type="dxa" w:w="1234"/>
          </w:tcPr>
          <w:p>
            <w:r>
              <w:rPr>
                <w:rFonts w:ascii="Calibri" w:hAnsi="Calibri"/>
                <w:sz w:val="22"/>
              </w:rPr>
              <w:t>N/A (no explicit EBITDA guidance)</w:t>
            </w:r>
          </w:p>
        </w:tc>
      </w:tr>
      <w:tr>
        <w:tc>
          <w:tcPr>
            <w:tcW w:type="dxa" w:w="1234"/>
          </w:tcPr>
          <w:p>
            <w:r>
              <w:rPr>
                <w:rFonts w:ascii="Calibri" w:hAnsi="Calibri"/>
                <w:sz w:val="22"/>
              </w:rPr>
              <w:t>EBITDA - Performance Coatings ($M)</w:t>
            </w:r>
          </w:p>
        </w:tc>
        <w:tc>
          <w:tcPr>
            <w:tcW w:type="dxa" w:w="1234"/>
          </w:tcPr>
          <w:p>
            <w:r>
              <w:rPr>
                <w:rFonts w:ascii="Calibri" w:hAnsi="Calibri"/>
                <w:sz w:val="22"/>
              </w:rPr>
              <w:t>$326M</w:t>
            </w:r>
          </w:p>
        </w:tc>
        <w:tc>
          <w:tcPr>
            <w:tcW w:type="dxa" w:w="1234"/>
          </w:tcPr>
          <w:p>
            <w:r>
              <w:rPr>
                <w:rFonts w:ascii="Calibri" w:hAnsi="Calibri"/>
                <w:sz w:val="22"/>
              </w:rPr>
              <w:t>$389M</w:t>
            </w:r>
          </w:p>
        </w:tc>
        <w:tc>
          <w:tcPr>
            <w:tcW w:type="dxa" w:w="1234"/>
          </w:tcPr>
          <w:p>
            <w:r>
              <w:rPr>
                <w:rFonts w:ascii="Calibri" w:hAnsi="Calibri"/>
                <w:sz w:val="22"/>
              </w:rPr>
              <w:t>$393M</w:t>
            </w:r>
          </w:p>
        </w:tc>
        <w:tc>
          <w:tcPr>
            <w:tcW w:type="dxa" w:w="1234"/>
          </w:tcPr>
          <w:p>
            <w:r>
              <w:rPr>
                <w:rFonts w:ascii="Calibri" w:hAnsi="Calibri"/>
                <w:sz w:val="22"/>
              </w:rPr>
              <w:t>+1.0%</w:t>
            </w:r>
          </w:p>
        </w:tc>
        <w:tc>
          <w:tcPr>
            <w:tcW w:type="dxa" w:w="1234"/>
          </w:tcPr>
          <w:p>
            <w:r>
              <w:rPr>
                <w:rFonts w:ascii="Calibri" w:hAnsi="Calibri"/>
                <w:sz w:val="22"/>
              </w:rPr>
              <w:t>N/A (no segment-level guidance)</w:t>
            </w:r>
          </w:p>
        </w:tc>
        <w:tc>
          <w:tcPr>
            <w:tcW w:type="dxa" w:w="1234"/>
          </w:tcPr>
          <w:p>
            <w:r>
              <w:rPr>
                <w:rFonts w:ascii="Calibri" w:hAnsi="Calibri"/>
                <w:sz w:val="22"/>
              </w:rPr>
              <w:t>N/A</w:t>
            </w:r>
          </w:p>
        </w:tc>
      </w:tr>
      <w:tr>
        <w:tc>
          <w:tcPr>
            <w:tcW w:type="dxa" w:w="1234"/>
          </w:tcPr>
          <w:p>
            <w:r>
              <w:rPr>
                <w:rFonts w:ascii="Calibri" w:hAnsi="Calibri"/>
                <w:sz w:val="22"/>
              </w:rPr>
              <w:t>EBITDA - Industrial Coatings ($M)</w:t>
            </w:r>
          </w:p>
        </w:tc>
        <w:tc>
          <w:tcPr>
            <w:tcW w:type="dxa" w:w="1234"/>
          </w:tcPr>
          <w:p>
            <w:r>
              <w:rPr>
                <w:rFonts w:ascii="Calibri" w:hAnsi="Calibri"/>
                <w:sz w:val="22"/>
              </w:rPr>
              <w:t>$245M</w:t>
            </w:r>
          </w:p>
        </w:tc>
        <w:tc>
          <w:tcPr>
            <w:tcW w:type="dxa" w:w="1234"/>
          </w:tcPr>
          <w:p>
            <w:r>
              <w:rPr>
                <w:rFonts w:ascii="Calibri" w:hAnsi="Calibri"/>
                <w:sz w:val="22"/>
              </w:rPr>
              <w:t>$276M</w:t>
            </w:r>
          </w:p>
        </w:tc>
        <w:tc>
          <w:tcPr>
            <w:tcW w:type="dxa" w:w="1234"/>
          </w:tcPr>
          <w:p>
            <w:r>
              <w:rPr>
                <w:rFonts w:ascii="Calibri" w:hAnsi="Calibri"/>
                <w:sz w:val="22"/>
              </w:rPr>
              <w:t>$270M</w:t>
            </w:r>
          </w:p>
        </w:tc>
        <w:tc>
          <w:tcPr>
            <w:tcW w:type="dxa" w:w="1234"/>
          </w:tcPr>
          <w:p>
            <w:r>
              <w:rPr>
                <w:rFonts w:ascii="Calibri" w:hAnsi="Calibri"/>
                <w:sz w:val="22"/>
              </w:rPr>
              <w:t>-2.3%</w:t>
            </w:r>
          </w:p>
        </w:tc>
        <w:tc>
          <w:tcPr>
            <w:tcW w:type="dxa" w:w="1234"/>
          </w:tcPr>
          <w:p>
            <w:r>
              <w:rPr>
                <w:rFonts w:ascii="Calibri" w:hAnsi="Calibri"/>
                <w:sz w:val="22"/>
              </w:rPr>
              <w:t>N/A (no segment-level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28, 2026. Q2 2026 guidance per PPG Q1 2026 earnings call (April 29, 2026). Net Sales Q2 2025 actual: $4.195B; Q1 2026 actual: $3.930B; Q2 2026 consensus: $4.356B. Adj. EPS Q2 2025 actual: $2.22; Q1 2026 actual: $1.83; Q2 2026 consensus: $2.24. Organic growth Q2 2025 actual: +1.76%; Q1 2026 actual: +0.91%; Q2 2026 consensus: +1.98%. Operating EBITDA Q2 2025 actual: $778M; Q1 2026 actual: $681M; Q2 2026 consensus: $798M. Performance Coatings EBITDA Q2 2025 actual: $389M; Q1 2026 actual: $326M; Q2 2026 consensus: $393M. Industrial Coatings EBITDA Q2 2025 actual: $276M; Q1 2026 actual: $245M; Q2 2026 consensus: $270M.</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Adjusted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$1.83</w:t>
            </w:r>
          </w:p>
        </w:tc>
        <w:tc>
          <w:tcPr>
            <w:tcW w:type="dxa" w:w="1728"/>
          </w:tcPr>
          <w:p>
            <w:r>
              <w:rPr>
                <w:rFonts w:ascii="Calibri" w:hAnsi="Calibri"/>
                <w:sz w:val="22"/>
              </w:rPr>
              <w:t>$1.76</w:t>
            </w:r>
          </w:p>
        </w:tc>
        <w:tc>
          <w:tcPr>
            <w:tcW w:type="dxa" w:w="1728"/>
          </w:tcPr>
          <w:p>
            <w:r>
              <w:rPr>
                <w:rFonts w:ascii="Calibri" w:hAnsi="Calibri"/>
                <w:b/>
                <w:color w:val="30A46C"/>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$1.51</w:t>
            </w:r>
          </w:p>
        </w:tc>
        <w:tc>
          <w:tcPr>
            <w:tcW w:type="dxa" w:w="1728"/>
          </w:tcPr>
          <w:p>
            <w:r>
              <w:rPr>
                <w:rFonts w:ascii="Calibri" w:hAnsi="Calibri"/>
                <w:sz w:val="22"/>
              </w:rPr>
              <w:t>$1.57</w:t>
            </w:r>
          </w:p>
        </w:tc>
        <w:tc>
          <w:tcPr>
            <w:tcW w:type="dxa" w:w="1728"/>
          </w:tcPr>
          <w:p>
            <w:r>
              <w:rPr>
                <w:rFonts w:ascii="Calibri" w:hAnsi="Calibri"/>
                <w:b/>
                <w:color w:val="E5484D"/>
                <w:sz w:val="22"/>
              </w:rPr>
              <w:t>-3.8%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$2.13</w:t>
            </w:r>
          </w:p>
        </w:tc>
        <w:tc>
          <w:tcPr>
            <w:tcW w:type="dxa" w:w="1728"/>
          </w:tcPr>
          <w:p>
            <w:r>
              <w:rPr>
                <w:rFonts w:ascii="Calibri" w:hAnsi="Calibri"/>
                <w:sz w:val="22"/>
              </w:rPr>
              <w:t>$2.09</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$2.22</w:t>
            </w:r>
          </w:p>
        </w:tc>
        <w:tc>
          <w:tcPr>
            <w:tcW w:type="dxa" w:w="1728"/>
          </w:tcPr>
          <w:p>
            <w:r>
              <w:rPr>
                <w:rFonts w:ascii="Calibri" w:hAnsi="Calibri"/>
                <w:sz w:val="22"/>
              </w:rPr>
              <w:t>$2.21</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$1.72</w:t>
            </w:r>
          </w:p>
        </w:tc>
        <w:tc>
          <w:tcPr>
            <w:tcW w:type="dxa" w:w="1728"/>
          </w:tcPr>
          <w:p>
            <w:r>
              <w:rPr>
                <w:rFonts w:ascii="Calibri" w:hAnsi="Calibri"/>
                <w:sz w:val="22"/>
              </w:rPr>
              <w:t>$1.62</w:t>
            </w:r>
          </w:p>
        </w:tc>
        <w:tc>
          <w:tcPr>
            <w:tcW w:type="dxa" w:w="1728"/>
          </w:tcPr>
          <w:p>
            <w:r>
              <w:rPr>
                <w:rFonts w:ascii="Calibri" w:hAnsi="Calibri"/>
                <w:b/>
                <w:color w:val="30A46C"/>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$1.61</w:t>
            </w:r>
          </w:p>
        </w:tc>
        <w:tc>
          <w:tcPr>
            <w:tcW w:type="dxa" w:w="1728"/>
          </w:tcPr>
          <w:p>
            <w:r>
              <w:rPr>
                <w:rFonts w:ascii="Calibri" w:hAnsi="Calibri"/>
                <w:sz w:val="22"/>
              </w:rPr>
              <w:t>$1.64</w:t>
            </w:r>
          </w:p>
        </w:tc>
        <w:tc>
          <w:tcPr>
            <w:tcW w:type="dxa" w:w="1728"/>
          </w:tcPr>
          <w:p>
            <w:r>
              <w:rPr>
                <w:rFonts w:ascii="Calibri" w:hAnsi="Calibri"/>
                <w:b/>
                <w:color w:val="E5484D"/>
                <w:sz w:val="22"/>
              </w:rPr>
              <w:t>-1.8%</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$2.03</w:t>
            </w:r>
          </w:p>
        </w:tc>
        <w:tc>
          <w:tcPr>
            <w:tcW w:type="dxa" w:w="1728"/>
          </w:tcPr>
          <w:p>
            <w:r>
              <w:rPr>
                <w:rFonts w:ascii="Calibri" w:hAnsi="Calibri"/>
                <w:sz w:val="22"/>
              </w:rPr>
              <w:t>$2.14</w:t>
            </w:r>
          </w:p>
        </w:tc>
        <w:tc>
          <w:tcPr>
            <w:tcW w:type="dxa" w:w="1728"/>
          </w:tcPr>
          <w:p>
            <w:r>
              <w:rPr>
                <w:rFonts w:ascii="Calibri" w:hAnsi="Calibri"/>
                <w:b/>
                <w:color w:val="E5484D"/>
                <w:sz w:val="22"/>
              </w:rPr>
              <w:t>-5.1%</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N/A — pre-window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$3.930B</w:t>
            </w:r>
          </w:p>
        </w:tc>
        <w:tc>
          <w:tcPr>
            <w:tcW w:type="dxa" w:w="1728"/>
          </w:tcPr>
          <w:p>
            <w:r>
              <w:rPr>
                <w:rFonts w:ascii="Calibri" w:hAnsi="Calibri"/>
                <w:sz w:val="22"/>
              </w:rPr>
              <w:t>$3.826B</w:t>
            </w:r>
          </w:p>
        </w:tc>
        <w:tc>
          <w:tcPr>
            <w:tcW w:type="dxa" w:w="1728"/>
          </w:tcPr>
          <w:p>
            <w:r>
              <w:rPr>
                <w:rFonts w:ascii="Calibri" w:hAnsi="Calibri"/>
                <w:b/>
                <w:color w:val="30A46C"/>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$3.914B</w:t>
            </w:r>
          </w:p>
        </w:tc>
        <w:tc>
          <w:tcPr>
            <w:tcW w:type="dxa" w:w="1728"/>
          </w:tcPr>
          <w:p>
            <w:r>
              <w:rPr>
                <w:rFonts w:ascii="Calibri" w:hAnsi="Calibri"/>
                <w:sz w:val="22"/>
              </w:rPr>
              <w:t>$3.778B</w:t>
            </w:r>
          </w:p>
        </w:tc>
        <w:tc>
          <w:tcPr>
            <w:tcW w:type="dxa" w:w="1728"/>
          </w:tcPr>
          <w:p>
            <w:r>
              <w:rPr>
                <w:rFonts w:ascii="Calibri" w:hAnsi="Calibri"/>
                <w:b/>
                <w:color w:val="30A46C"/>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$4.082B</w:t>
            </w:r>
          </w:p>
        </w:tc>
        <w:tc>
          <w:tcPr>
            <w:tcW w:type="dxa" w:w="1728"/>
          </w:tcPr>
          <w:p>
            <w:r>
              <w:rPr>
                <w:rFonts w:ascii="Calibri" w:hAnsi="Calibri"/>
                <w:sz w:val="22"/>
              </w:rPr>
              <w:t>$4.046B</w:t>
            </w:r>
          </w:p>
        </w:tc>
        <w:tc>
          <w:tcPr>
            <w:tcW w:type="dxa" w:w="1728"/>
          </w:tcPr>
          <w:p>
            <w:r>
              <w:rPr>
                <w:rFonts w:ascii="Calibri" w:hAnsi="Calibri"/>
                <w:b/>
                <w:color w:val="30A46C"/>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$4.195B</w:t>
            </w:r>
          </w:p>
        </w:tc>
        <w:tc>
          <w:tcPr>
            <w:tcW w:type="dxa" w:w="1728"/>
          </w:tcPr>
          <w:p>
            <w:r>
              <w:rPr>
                <w:rFonts w:ascii="Calibri" w:hAnsi="Calibri"/>
                <w:sz w:val="22"/>
              </w:rPr>
              <w:t>$4.176B</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$3.684B</w:t>
            </w:r>
          </w:p>
        </w:tc>
        <w:tc>
          <w:tcPr>
            <w:tcW w:type="dxa" w:w="1728"/>
          </w:tcPr>
          <w:p>
            <w:r>
              <w:rPr>
                <w:rFonts w:ascii="Calibri" w:hAnsi="Calibri"/>
                <w:sz w:val="22"/>
              </w:rPr>
              <w:t>$3.602B</w:t>
            </w:r>
          </w:p>
        </w:tc>
        <w:tc>
          <w:tcPr>
            <w:tcW w:type="dxa" w:w="1728"/>
          </w:tcPr>
          <w:p>
            <w:r>
              <w:rPr>
                <w:rFonts w:ascii="Calibri" w:hAnsi="Calibri"/>
                <w:b/>
                <w:color w:val="30A46C"/>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$3.729B</w:t>
            </w:r>
          </w:p>
        </w:tc>
        <w:tc>
          <w:tcPr>
            <w:tcW w:type="dxa" w:w="1728"/>
          </w:tcPr>
          <w:p>
            <w:r>
              <w:rPr>
                <w:rFonts w:ascii="Calibri" w:hAnsi="Calibri"/>
                <w:sz w:val="22"/>
              </w:rPr>
              <w:t>$4.020B</w:t>
            </w:r>
          </w:p>
        </w:tc>
        <w:tc>
          <w:tcPr>
            <w:tcW w:type="dxa" w:w="1728"/>
          </w:tcPr>
          <w:p>
            <w:r>
              <w:rPr>
                <w:rFonts w:ascii="Calibri" w:hAnsi="Calibri"/>
                <w:b/>
                <w:color w:val="E5484D"/>
                <w:sz w:val="22"/>
              </w:rPr>
              <w:t>-7.2%</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$4.032B</w:t>
            </w:r>
          </w:p>
        </w:tc>
        <w:tc>
          <w:tcPr>
            <w:tcW w:type="dxa" w:w="1728"/>
          </w:tcPr>
          <w:p>
            <w:r>
              <w:rPr>
                <w:rFonts w:ascii="Calibri" w:hAnsi="Calibri"/>
                <w:sz w:val="22"/>
              </w:rPr>
              <w:t>$4.651B</w:t>
            </w:r>
          </w:p>
        </w:tc>
        <w:tc>
          <w:tcPr>
            <w:tcW w:type="dxa" w:w="1728"/>
          </w:tcPr>
          <w:p>
            <w:r>
              <w:rPr>
                <w:rFonts w:ascii="Calibri" w:hAnsi="Calibri"/>
                <w:b/>
                <w:color w:val="E5484D"/>
                <w:sz w:val="22"/>
              </w:rPr>
              <w:t>-13.3%</w:t>
            </w:r>
          </w:p>
        </w:tc>
        <w:tc>
          <w:tcPr>
            <w:tcW w:type="dxa" w:w="1728"/>
          </w:tcPr>
          <w:p>
            <w:r>
              <w:rPr>
                <w:rFonts w:ascii="Calibri" w:hAnsi="Calibri"/>
                <w:b/>
                <w:color w:val="E5484D"/>
                <w:sz w:val="22"/>
              </w:rPr>
              <w:t>Miss</w:t>
            </w:r>
          </w:p>
        </w:tc>
      </w:tr>
    </w:tbl>
    <w:p>
      <w:r>
        <w:rPr>
          <w:rFonts w:ascii="Calibri" w:hAnsi="Calibri"/>
          <w:i/>
          <w:color w:val="525866"/>
          <w:sz w:val="22"/>
        </w:rPr>
        <w:t>Note: Q3 2024 and Q4 2024 large consensus misses likely reflect segment reclassification or restatement effects in the Visible Alpha consensus series; the underlying business performance was more in line. PPG has beaten adjusted EPS consensus in 4 of the last 5 quarters where data is clean, demonstrating a consistent pattern of modest positive surprises.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April 28 Q1 2026 earnings call</w:t>
      </w:r>
      <w:r>
        <w:rPr>
          <w:rFonts w:ascii="Calibri" w:hAnsi="Calibri"/>
          <w:color w:val="525866"/>
          <w:sz w:val="22"/>
        </w:rPr>
        <w:t xml:space="preserve"> — PPG reaffirmed full-year EPS of $7.70–$8.10 and set Q2 at flat-to-low-single-digit growth; tone is </w:t>
      </w:r>
      <w:r>
        <w:rPr>
          <w:rFonts w:ascii="Calibri" w:hAnsi="Calibri"/>
          <w:b/>
          <w:color w:val="525866"/>
          <w:sz w:val="22"/>
        </w:rPr>
        <w:t>cautiously constructive</w:t>
      </w:r>
      <w:r>
        <w:rPr>
          <w:rFonts w:ascii="Calibri" w:hAnsi="Calibri"/>
          <w:color w:val="525866"/>
          <w:sz w:val="22"/>
        </w:rPr>
        <w:t>, with management expressing confidence in H2 acceleration driven by refinish recovery, aerospace growth, and pricing realization.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Organic Sales Growth</w:t>
            </w:r>
          </w:p>
        </w:tc>
        <w:tc>
          <w:tcPr>
            <w:tcW w:type="dxa" w:w="1728"/>
          </w:tcPr>
          <w:p>
            <w:r>
              <w:rPr>
                <w:rFonts w:ascii="Calibri" w:hAnsi="Calibri"/>
                <w:sz w:val="22"/>
              </w:rPr>
              <w:t>Flat to low-single-digit % growth vs. prior year</w:t>
            </w:r>
          </w:p>
        </w:tc>
        <w:tc>
          <w:tcPr>
            <w:tcW w:type="dxa" w:w="1728"/>
          </w:tcPr>
          <w:p>
            <w:r>
              <w:rPr>
                <w:rFonts w:ascii="Calibri" w:hAnsi="Calibri"/>
                <w:sz w:val="22"/>
              </w:rPr>
              <w:t>—</w:t>
            </w:r>
          </w:p>
        </w:tc>
        <w:tc>
          <w:tcPr>
            <w:tcW w:type="dxa" w:w="1728"/>
          </w:tcPr>
          <w:p>
            <w:r>
              <w:rPr>
                <w:rFonts w:ascii="Calibri" w:hAnsi="Calibri"/>
                <w:sz w:val="22"/>
              </w:rPr>
              <w:t>+2.0% (consensus)</w:t>
            </w:r>
          </w:p>
        </w:tc>
        <w:tc>
          <w:tcPr>
            <w:tcW w:type="dxa" w:w="1728"/>
          </w:tcPr>
          <w:p>
            <w:r>
              <w:rPr>
                <w:rFonts w:ascii="Calibri" w:hAnsi="Calibri"/>
                <w:sz w:val="22"/>
              </w:rPr>
              <w:t>No post-earnings revision; consensus at high end of range</w:t>
            </w:r>
          </w:p>
        </w:tc>
      </w:tr>
      <w:tr>
        <w:tc>
          <w:tcPr>
            <w:tcW w:type="dxa" w:w="1728"/>
          </w:tcPr>
          <w:p>
            <w:r>
              <w:rPr>
                <w:rFonts w:ascii="Calibri" w:hAnsi="Calibri"/>
                <w:sz w:val="22"/>
              </w:rPr>
              <w:t>Q2 2026 Adjusted EPS Growth</w:t>
            </w:r>
          </w:p>
        </w:tc>
        <w:tc>
          <w:tcPr>
            <w:tcW w:type="dxa" w:w="1728"/>
          </w:tcPr>
          <w:p>
            <w:r>
              <w:rPr>
                <w:rFonts w:ascii="Calibri" w:hAnsi="Calibri"/>
                <w:sz w:val="22"/>
              </w:rPr>
              <w:t>Flat to low-single-digit % growth vs. prior year ($2.22 base)</w:t>
            </w:r>
          </w:p>
        </w:tc>
        <w:tc>
          <w:tcPr>
            <w:tcW w:type="dxa" w:w="1728"/>
          </w:tcPr>
          <w:p>
            <w:r>
              <w:rPr>
                <w:rFonts w:ascii="Calibri" w:hAnsi="Calibri"/>
                <w:sz w:val="22"/>
              </w:rPr>
              <w:t>—</w:t>
            </w:r>
          </w:p>
        </w:tc>
        <w:tc>
          <w:tcPr>
            <w:tcW w:type="dxa" w:w="1728"/>
          </w:tcPr>
          <w:p>
            <w:r>
              <w:rPr>
                <w:rFonts w:ascii="Calibri" w:hAnsi="Calibri"/>
                <w:sz w:val="22"/>
              </w:rPr>
              <w:t>$2.24 (+1.0% YoY)</w:t>
            </w:r>
          </w:p>
        </w:tc>
        <w:tc>
          <w:tcPr>
            <w:tcW w:type="dxa" w:w="1728"/>
          </w:tcPr>
          <w:p>
            <w:r>
              <w:rPr>
                <w:rFonts w:ascii="Calibri" w:hAnsi="Calibri"/>
                <w:sz w:val="22"/>
              </w:rPr>
              <w:t>No post-earnings revision; consensus at high end of range</w:t>
            </w:r>
          </w:p>
        </w:tc>
      </w:tr>
      <w:tr>
        <w:tc>
          <w:tcPr>
            <w:tcW w:type="dxa" w:w="1728"/>
          </w:tcPr>
          <w:p>
            <w:r>
              <w:rPr>
                <w:rFonts w:ascii="Calibri" w:hAnsi="Calibri"/>
                <w:sz w:val="22"/>
              </w:rPr>
              <w:t>FY 2026 Adjusted EPS</w:t>
            </w:r>
          </w:p>
        </w:tc>
        <w:tc>
          <w:tcPr>
            <w:tcW w:type="dxa" w:w="1728"/>
          </w:tcPr>
          <w:p>
            <w:r>
              <w:rPr>
                <w:rFonts w:ascii="Calibri" w:hAnsi="Calibri"/>
                <w:sz w:val="22"/>
              </w:rPr>
              <w:t>$7.70–$8.10 (midpoint $7.90)</w:t>
            </w:r>
          </w:p>
        </w:tc>
        <w:tc>
          <w:tcPr>
            <w:tcW w:type="dxa" w:w="1728"/>
          </w:tcPr>
          <w:p>
            <w:r>
              <w:rPr>
                <w:rFonts w:ascii="Calibri" w:hAnsi="Calibri"/>
                <w:sz w:val="22"/>
              </w:rPr>
              <w:t>—</w:t>
            </w:r>
          </w:p>
        </w:tc>
        <w:tc>
          <w:tcPr>
            <w:tcW w:type="dxa" w:w="1728"/>
          </w:tcPr>
          <w:p>
            <w:r>
              <w:rPr>
                <w:rFonts w:ascii="Calibri" w:hAnsi="Calibri"/>
                <w:sz w:val="22"/>
              </w:rPr>
              <w:t>$7.87 (consensus)</w:t>
            </w:r>
          </w:p>
        </w:tc>
        <w:tc>
          <w:tcPr>
            <w:tcW w:type="dxa" w:w="1728"/>
          </w:tcPr>
          <w:p>
            <w:r>
              <w:rPr>
                <w:rFonts w:ascii="Calibri" w:hAnsi="Calibri"/>
                <w:sz w:val="22"/>
              </w:rPr>
              <w:t>Reaffirmed; consensus slightly below midpoint; growth weighted to H2</w:t>
            </w:r>
          </w:p>
        </w:tc>
      </w:tr>
      <w:tr>
        <w:tc>
          <w:tcPr>
            <w:tcW w:type="dxa" w:w="1728"/>
          </w:tcPr>
          <w:p>
            <w:r>
              <w:rPr>
                <w:rFonts w:ascii="Calibri" w:hAnsi="Calibri"/>
                <w:sz w:val="22"/>
              </w:rPr>
              <w:t>Q2 2026 Pricing</w:t>
            </w:r>
          </w:p>
        </w:tc>
        <w:tc>
          <w:tcPr>
            <w:tcW w:type="dxa" w:w="1728"/>
          </w:tcPr>
          <w:p>
            <w:r>
              <w:rPr>
                <w:rFonts w:ascii="Calibri" w:hAnsi="Calibri"/>
                <w:sz w:val="22"/>
              </w:rPr>
              <w:t>Overall pricing positive; Performance &amp; Architectural leading; Industrial flat YoY; all 3 segments improved vs. Q1</w:t>
            </w:r>
          </w:p>
        </w:tc>
        <w:tc>
          <w:tcPr>
            <w:tcW w:type="dxa" w:w="1728"/>
          </w:tcPr>
          <w:p>
            <w:r>
              <w:rPr>
                <w:rFonts w:ascii="Calibri" w:hAnsi="Calibri"/>
                <w:sz w:val="22"/>
              </w:rPr>
              <w:t>—</w:t>
            </w:r>
          </w:p>
        </w:tc>
        <w:tc>
          <w:tcPr>
            <w:tcW w:type="dxa" w:w="1728"/>
          </w:tcPr>
          <w:p>
            <w:r>
              <w:rPr>
                <w:rFonts w:ascii="Calibri" w:hAnsi="Calibri"/>
                <w:sz w:val="22"/>
              </w:rPr>
              <w:t>N/A (no consensus pricing estimate)</w:t>
            </w:r>
          </w:p>
        </w:tc>
        <w:tc>
          <w:tcPr>
            <w:tcW w:type="dxa" w:w="1728"/>
          </w:tcPr>
          <w:p>
            <w:r>
              <w:rPr>
                <w:rFonts w:ascii="Calibri" w:hAnsi="Calibri"/>
                <w:sz w:val="22"/>
              </w:rPr>
              <w:t>Key watch item: pricing realization vs. mid-single-digit COGS inflation</w:t>
            </w:r>
          </w:p>
        </w:tc>
      </w:tr>
      <w:tr>
        <w:tc>
          <w:tcPr>
            <w:tcW w:type="dxa" w:w="1728"/>
          </w:tcPr>
          <w:p>
            <w:r>
              <w:rPr>
                <w:rFonts w:ascii="Calibri" w:hAnsi="Calibri"/>
                <w:sz w:val="22"/>
              </w:rPr>
              <w:t>Raw Material / COGS Inflation (remainder of 2026)</w:t>
            </w:r>
          </w:p>
        </w:tc>
        <w:tc>
          <w:tcPr>
            <w:tcW w:type="dxa" w:w="1728"/>
          </w:tcPr>
          <w:p>
            <w:r>
              <w:rPr>
                <w:rFonts w:ascii="Calibri" w:hAnsi="Calibri"/>
                <w:sz w:val="22"/>
              </w:rPr>
              <w:t>Mid-single-digit % increase in COGS; low-single-digit pricing needed to offset; faster recovery than prior cycles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Iran conflict driving petrochemical, energy, logistics costs; surcharges being deployed</w:t>
            </w:r>
          </w:p>
        </w:tc>
      </w:tr>
      <w:tr>
        <w:tc>
          <w:tcPr>
            <w:tcW w:type="dxa" w:w="1728"/>
          </w:tcPr>
          <w:p>
            <w:r>
              <w:rPr>
                <w:rFonts w:ascii="Calibri" w:hAnsi="Calibri"/>
                <w:sz w:val="22"/>
              </w:rPr>
              <w:t>Automotive Refinish (Q2 2026)</w:t>
            </w:r>
          </w:p>
        </w:tc>
        <w:tc>
          <w:tcPr>
            <w:tcW w:type="dxa" w:w="1728"/>
          </w:tcPr>
          <w:p>
            <w:r>
              <w:rPr>
                <w:rFonts w:ascii="Calibri" w:hAnsi="Calibri"/>
                <w:sz w:val="22"/>
              </w:rPr>
              <w:t>YoY volume declines expected in Q2 (lapping strong H1 2025 order patterns); volume growth anticipated in H2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Recovery tracking ahead of initial expectations; U.S. claims near-flat in Feb/Mar 2026</w:t>
            </w:r>
          </w:p>
        </w:tc>
      </w:tr>
      <w:tr>
        <w:tc>
          <w:tcPr>
            <w:tcW w:type="dxa" w:w="1728"/>
          </w:tcPr>
          <w:p>
            <w:r>
              <w:rPr>
                <w:rFonts w:ascii="Calibri" w:hAnsi="Calibri"/>
                <w:sz w:val="22"/>
              </w:rPr>
              <w:t>Aerospace (Q2 2026)</w:t>
            </w:r>
          </w:p>
        </w:tc>
        <w:tc>
          <w:tcPr>
            <w:tcW w:type="dxa" w:w="1728"/>
          </w:tcPr>
          <w:p>
            <w:r>
              <w:rPr>
                <w:rFonts w:ascii="Calibri" w:hAnsi="Calibri"/>
                <w:sz w:val="22"/>
              </w:rPr>
              <w:t>Strong growth expected; backlog ~$315M; above-industry growth</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Essentially sold out; every incremental output = incremental volume</w:t>
            </w:r>
          </w:p>
        </w:tc>
      </w:tr>
      <w:tr>
        <w:tc>
          <w:tcPr>
            <w:tcW w:type="dxa" w:w="1728"/>
          </w:tcPr>
          <w:p>
            <w:r>
              <w:rPr>
                <w:rFonts w:ascii="Calibri" w:hAnsi="Calibri"/>
                <w:sz w:val="22"/>
              </w:rPr>
              <w:t>European Architectural Restructuring</w:t>
            </w:r>
          </w:p>
        </w:tc>
        <w:tc>
          <w:tcPr>
            <w:tcW w:type="dxa" w:w="1728"/>
          </w:tcPr>
          <w:p>
            <w:r>
              <w:rPr>
                <w:rFonts w:ascii="Calibri" w:hAnsi="Calibri"/>
                <w:sz w:val="22"/>
              </w:rPr>
              <w:t>4 plant closures in H2 2026; ~$25M fixed cost reduction; ~$50M total restructuring savings in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Savings flow through in 2027 on run-rate basis</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2026 print — Q2 2026 EPS consensus moved only ~$0.003 and FY 2026 EPS moved ~$0.03 — suggesting the Street has fully digested guidance with </w:t>
      </w:r>
      <w:r>
        <w:rPr>
          <w:rFonts w:ascii="Calibri" w:hAnsi="Calibri"/>
          <w:b/>
          <w:color w:val="525866"/>
          <w:sz w:val="22"/>
        </w:rPr>
        <w:t>no meaningful revision risk in either direction</w:t>
      </w:r>
      <w:r>
        <w:rPr>
          <w:rFonts w:ascii="Calibri" w:hAnsi="Calibri"/>
          <w:color w:val="525866"/>
          <w:sz w:val="22"/>
        </w:rPr>
        <w:t>; the gap between consensus and guidance midpoint is narrow, leaving the print as the primary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$2.247</w:t>
            </w:r>
          </w:p>
        </w:tc>
        <w:tc>
          <w:tcPr>
            <w:tcW w:type="dxa" w:w="1080"/>
          </w:tcPr>
          <w:p>
            <w:r>
              <w:rPr>
                <w:rFonts w:ascii="Calibri" w:hAnsi="Calibri"/>
                <w:sz w:val="22"/>
              </w:rPr>
              <w:t>$2.244</w:t>
            </w:r>
          </w:p>
        </w:tc>
        <w:tc>
          <w:tcPr>
            <w:tcW w:type="dxa" w:w="1080"/>
          </w:tcPr>
          <w:p>
            <w:r>
              <w:rPr>
                <w:rFonts w:ascii="Calibri" w:hAnsi="Calibri"/>
                <w:sz w:val="22"/>
              </w:rPr>
              <w:t>-0.1%</w:t>
            </w:r>
          </w:p>
        </w:tc>
        <w:tc>
          <w:tcPr>
            <w:tcW w:type="dxa" w:w="1080"/>
          </w:tcPr>
          <w:p>
            <w:r>
              <w:rPr>
                <w:rFonts w:ascii="Calibri" w:hAnsi="Calibri"/>
                <w:sz w:val="22"/>
              </w:rPr>
              <w:t>Flat to low-single-digit growth vs. $2.22 (implied ~$2.22–$2.33)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vs. prior year; at high end of guidance range</w:t>
            </w:r>
          </w:p>
        </w:tc>
      </w:tr>
      <w:tr>
        <w:tc>
          <w:tcPr>
            <w:tcW w:type="dxa" w:w="1080"/>
          </w:tcPr>
          <w:p>
            <w:r>
              <w:rPr>
                <w:rFonts w:ascii="Calibri" w:hAnsi="Calibri"/>
                <w:sz w:val="22"/>
              </w:rPr>
              <w:t>Adj. EPS — FY 2026</w:t>
            </w:r>
          </w:p>
        </w:tc>
        <w:tc>
          <w:tcPr>
            <w:tcW w:type="dxa" w:w="1080"/>
          </w:tcPr>
          <w:p>
            <w:r>
              <w:rPr>
                <w:rFonts w:ascii="Calibri" w:hAnsi="Calibri"/>
                <w:sz w:val="22"/>
              </w:rPr>
              <w:t>$7.842</w:t>
            </w:r>
          </w:p>
        </w:tc>
        <w:tc>
          <w:tcPr>
            <w:tcW w:type="dxa" w:w="1080"/>
          </w:tcPr>
          <w:p>
            <w:r>
              <w:rPr>
                <w:rFonts w:ascii="Calibri" w:hAnsi="Calibri"/>
                <w:sz w:val="22"/>
              </w:rPr>
              <w:t>$7.869</w:t>
            </w:r>
          </w:p>
        </w:tc>
        <w:tc>
          <w:tcPr>
            <w:tcW w:type="dxa" w:w="1080"/>
          </w:tcPr>
          <w:p>
            <w:r>
              <w:rPr>
                <w:rFonts w:ascii="Calibri" w:hAnsi="Calibri"/>
                <w:sz w:val="22"/>
              </w:rPr>
              <w:t>+0.3%</w:t>
            </w:r>
          </w:p>
        </w:tc>
        <w:tc>
          <w:tcPr>
            <w:tcW w:type="dxa" w:w="1080"/>
          </w:tcPr>
          <w:p>
            <w:r>
              <w:rPr>
                <w:rFonts w:ascii="Calibri" w:hAnsi="Calibri"/>
                <w:sz w:val="22"/>
              </w:rPr>
              <w:t>$7.70–$8.10 (midpoint $7.90)</w:t>
            </w:r>
          </w:p>
        </w:tc>
        <w:tc>
          <w:tcPr>
            <w:tcW w:type="dxa" w:w="1080"/>
          </w:tcPr>
          <w:p>
            <w:r>
              <w:rPr>
                <w:rFonts w:ascii="Calibri" w:hAnsi="Calibri"/>
                <w:sz w:val="22"/>
              </w:rPr>
              <w:t>Unchanged; reaffirmed Apr 28</w:t>
            </w:r>
          </w:p>
        </w:tc>
        <w:tc>
          <w:tcPr>
            <w:tcW w:type="dxa" w:w="1080"/>
          </w:tcPr>
          <w:p>
            <w:r>
              <w:rPr>
                <w:rFonts w:ascii="Calibri" w:hAnsi="Calibri"/>
                <w:sz w:val="22"/>
              </w:rPr>
              <w:t>—</w:t>
            </w:r>
          </w:p>
        </w:tc>
        <w:tc>
          <w:tcPr>
            <w:tcW w:type="dxa" w:w="1080"/>
          </w:tcPr>
          <w:p>
            <w:r>
              <w:rPr>
                <w:rFonts w:ascii="Calibri" w:hAnsi="Calibri"/>
                <w:sz w:val="22"/>
              </w:rPr>
              <w:t>-0.4% below midpoint; within guidance range</w:t>
            </w:r>
          </w:p>
        </w:tc>
      </w:tr>
      <w:tr>
        <w:tc>
          <w:tcPr>
            <w:tcW w:type="dxa" w:w="1080"/>
          </w:tcPr>
          <w:p>
            <w:r>
              <w:rPr>
                <w:rFonts w:ascii="Calibri" w:hAnsi="Calibri"/>
                <w:sz w:val="22"/>
              </w:rPr>
              <w:t>Net Sales — Q2 2026</w:t>
            </w:r>
          </w:p>
        </w:tc>
        <w:tc>
          <w:tcPr>
            <w:tcW w:type="dxa" w:w="1080"/>
          </w:tcPr>
          <w:p>
            <w:r>
              <w:rPr>
                <w:rFonts w:ascii="Calibri" w:hAnsi="Calibri"/>
                <w:sz w:val="22"/>
              </w:rPr>
              <w:t>$4.354B</w:t>
            </w:r>
          </w:p>
        </w:tc>
        <w:tc>
          <w:tcPr>
            <w:tcW w:type="dxa" w:w="1080"/>
          </w:tcPr>
          <w:p>
            <w:r>
              <w:rPr>
                <w:rFonts w:ascii="Calibri" w:hAnsi="Calibri"/>
                <w:sz w:val="22"/>
              </w:rPr>
              <w:t>$4.356B</w:t>
            </w:r>
          </w:p>
        </w:tc>
        <w:tc>
          <w:tcPr>
            <w:tcW w:type="dxa" w:w="1080"/>
          </w:tcPr>
          <w:p>
            <w:r>
              <w:rPr>
                <w:rFonts w:ascii="Calibri" w:hAnsi="Calibri"/>
                <w:sz w:val="22"/>
              </w:rPr>
              <w:t>+0.1%</w:t>
            </w:r>
          </w:p>
        </w:tc>
        <w:tc>
          <w:tcPr>
            <w:tcW w:type="dxa" w:w="1080"/>
          </w:tcPr>
          <w:p>
            <w:r>
              <w:rPr>
                <w:rFonts w:ascii="Calibri" w:hAnsi="Calibri"/>
                <w:sz w:val="22"/>
              </w:rPr>
              <w:t>Flat to low-single-digit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Implies ~+3.8% total growth; at high end of organic guidance</w:t>
            </w:r>
          </w:p>
        </w:tc>
      </w:tr>
      <w:tr>
        <w:tc>
          <w:tcPr>
            <w:tcW w:type="dxa" w:w="1080"/>
          </w:tcPr>
          <w:p>
            <w:r>
              <w:rPr>
                <w:rFonts w:ascii="Calibri" w:hAnsi="Calibri"/>
                <w:sz w:val="22"/>
              </w:rPr>
              <w:t>Net Sales — FY 2026</w:t>
            </w:r>
          </w:p>
        </w:tc>
        <w:tc>
          <w:tcPr>
            <w:tcW w:type="dxa" w:w="1080"/>
          </w:tcPr>
          <w:p>
            <w:r>
              <w:rPr>
                <w:rFonts w:ascii="Calibri" w:hAnsi="Calibri"/>
                <w:sz w:val="22"/>
              </w:rPr>
              <w:t>$16.656B</w:t>
            </w:r>
          </w:p>
        </w:tc>
        <w:tc>
          <w:tcPr>
            <w:tcW w:type="dxa" w:w="1080"/>
          </w:tcPr>
          <w:p>
            <w:r>
              <w:rPr>
                <w:rFonts w:ascii="Calibri" w:hAnsi="Calibri"/>
                <w:sz w:val="22"/>
              </w:rPr>
              <w:t>$16.624B</w:t>
            </w:r>
          </w:p>
        </w:tc>
        <w:tc>
          <w:tcPr>
            <w:tcW w:type="dxa" w:w="1080"/>
          </w:tcPr>
          <w:p>
            <w:r>
              <w:rPr>
                <w:rFonts w:ascii="Calibri" w:hAnsi="Calibri"/>
                <w:sz w:val="22"/>
              </w:rPr>
              <w:t>-0.2%</w:t>
            </w:r>
          </w:p>
        </w:tc>
        <w:tc>
          <w:tcPr>
            <w:tcW w:type="dxa" w:w="1080"/>
          </w:tcPr>
          <w:p>
            <w:r>
              <w:rPr>
                <w:rFonts w:ascii="Calibri" w:hAnsi="Calibri"/>
                <w:sz w:val="22"/>
              </w:rPr>
              <w:t>N/A (no explicit FY revenue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EBITDA — Q2 2026</w:t>
            </w:r>
          </w:p>
        </w:tc>
        <w:tc>
          <w:tcPr>
            <w:tcW w:type="dxa" w:w="1080"/>
          </w:tcPr>
          <w:p>
            <w:r>
              <w:rPr>
                <w:rFonts w:ascii="Calibri" w:hAnsi="Calibri"/>
                <w:sz w:val="22"/>
              </w:rPr>
              <w:t>$797.0M</w:t>
            </w:r>
          </w:p>
        </w:tc>
        <w:tc>
          <w:tcPr>
            <w:tcW w:type="dxa" w:w="1080"/>
          </w:tcPr>
          <w:p>
            <w:r>
              <w:rPr>
                <w:rFonts w:ascii="Calibri" w:hAnsi="Calibri"/>
                <w:sz w:val="22"/>
              </w:rPr>
              <w:t>$798.3M</w:t>
            </w:r>
          </w:p>
        </w:tc>
        <w:tc>
          <w:tcPr>
            <w:tcW w:type="dxa" w:w="1080"/>
          </w:tcPr>
          <w:p>
            <w:r>
              <w:rPr>
                <w:rFonts w:ascii="Calibri" w:hAnsi="Calibri"/>
                <w:sz w:val="22"/>
              </w:rPr>
              <w:t>+0.2%</w:t>
            </w:r>
          </w:p>
        </w:tc>
        <w:tc>
          <w:tcPr>
            <w:tcW w:type="dxa" w:w="1080"/>
          </w:tcPr>
          <w:p>
            <w:r>
              <w:rPr>
                <w:rFonts w:ascii="Calibri" w:hAnsi="Calibri"/>
                <w:sz w:val="22"/>
              </w:rPr>
              <w:t>N/A (no explicit EBITDA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EBITDA — FY 2026</w:t>
            </w:r>
          </w:p>
        </w:tc>
        <w:tc>
          <w:tcPr>
            <w:tcW w:type="dxa" w:w="1080"/>
          </w:tcPr>
          <w:p>
            <w:r>
              <w:rPr>
                <w:rFonts w:ascii="Calibri" w:hAnsi="Calibri"/>
                <w:sz w:val="22"/>
              </w:rPr>
              <w:t>$2,867M</w:t>
            </w:r>
          </w:p>
        </w:tc>
        <w:tc>
          <w:tcPr>
            <w:tcW w:type="dxa" w:w="1080"/>
          </w:tcPr>
          <w:p>
            <w:r>
              <w:rPr>
                <w:rFonts w:ascii="Calibri" w:hAnsi="Calibri"/>
                <w:sz w:val="22"/>
              </w:rPr>
              <w:t>$2,874M</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as of May 5, 2026 (5 trading days after April 28 earnings release). Current consensus as of July 28, 2026. Estimates have been essentially flat since the Q1 print, confirming the Street has fully priced in management's guidance with no meaningful revision drift. The slight upward creep in FY 2026 EPS (+0.3%) suggests modest incremental confidence in the H2 recovery thesis.</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PPG has </w:t>
      </w:r>
      <w:r>
        <w:rPr>
          <w:rFonts w:ascii="Calibri" w:hAnsi="Calibri"/>
          <w:b/>
          <w:color w:val="525866"/>
          <w:sz w:val="22"/>
        </w:rPr>
        <w:t>outperformed XLB by ~12 percentage points</w:t>
      </w:r>
      <w:r>
        <w:rPr>
          <w:rFonts w:ascii="Calibri" w:hAnsi="Calibri"/>
          <w:color w:val="525866"/>
          <w:sz w:val="22"/>
        </w:rPr>
        <w:t xml:space="preserve"> since the April 28 earnings date, driven primarily by </w:t>
      </w:r>
      <w:r>
        <w:rPr>
          <w:rFonts w:ascii="Calibri" w:hAnsi="Calibri"/>
          <w:b/>
          <w:color w:val="525866"/>
          <w:sz w:val="22"/>
        </w:rPr>
        <w:t>multiple re-rating</w:t>
      </w:r>
      <w:r>
        <w:rPr>
          <w:rFonts w:ascii="Calibri" w:hAnsi="Calibri"/>
          <w:color w:val="525866"/>
          <w:sz w:val="22"/>
        </w:rPr>
        <w:t xml:space="preserve"> on the H2 recovery thesis rather than estimate revisions (which were flat); the stock's +10% gain vs. a flat-to-slightly-positive XLB suggests sentiment improvement is already partially priced in, raising the bar for a positive reaction on the Q2 print.</w:t>
      </w:r>
    </w:p>
    <w:p>
      <w:pPr>
        <w:pStyle w:val="Heading3"/>
      </w:pPr>
      <w:r>
        <w:rPr>
          <w:rFonts w:ascii="Calibri" w:hAnsi="Calibri"/>
          <w:b/>
          <w:color w:val="3B4259"/>
          <w:sz w:val="24"/>
        </w:rPr>
        <w:t>PPG vs. XLB vs. S&amp;P 500 — Indexed Performance Since April 28,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PPG (Indexed)</w:t>
            </w:r>
          </w:p>
        </w:tc>
        <w:tc>
          <w:tcPr>
            <w:tcW w:type="dxa" w:w="2160"/>
            <w:shd w:val="clear" w:color="auto" w:fill="3B4259"/>
          </w:tcPr>
          <w:p>
            <w:r>
              <w:rPr>
                <w:rFonts w:ascii="Calibri" w:hAnsi="Calibri"/>
                <w:b/>
                <w:color w:val="FFFFFF"/>
                <w:sz w:val="22"/>
              </w:rPr>
              <w:t>XLB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6, 2026</w:t>
            </w:r>
          </w:p>
        </w:tc>
        <w:tc>
          <w:tcPr>
            <w:tcW w:type="dxa" w:w="2160"/>
          </w:tcPr>
          <w:p>
            <w:r>
              <w:rPr>
                <w:rFonts w:ascii="Calibri" w:hAnsi="Calibri"/>
                <w:sz w:val="22"/>
              </w:rPr>
              <w:t>103.5</w:t>
            </w:r>
          </w:p>
        </w:tc>
        <w:tc>
          <w:tcPr>
            <w:tcW w:type="dxa" w:w="2160"/>
          </w:tcPr>
          <w:p>
            <w:r>
              <w:rPr>
                <w:rFonts w:ascii="Calibri" w:hAnsi="Calibri"/>
                <w:sz w:val="22"/>
              </w:rPr>
              <w:t>102.0</w:t>
            </w:r>
          </w:p>
        </w:tc>
        <w:tc>
          <w:tcPr>
            <w:tcW w:type="dxa" w:w="2160"/>
          </w:tcPr>
          <w:p>
            <w:r>
              <w:rPr>
                <w:rFonts w:ascii="Calibri" w:hAnsi="Calibri"/>
                <w:sz w:val="22"/>
              </w:rPr>
              <w:t>103.1</w:t>
            </w:r>
          </w:p>
        </w:tc>
      </w:tr>
      <w:tr>
        <w:tc>
          <w:tcPr>
            <w:tcW w:type="dxa" w:w="2160"/>
          </w:tcPr>
          <w:p>
            <w:r>
              <w:rPr>
                <w:rFonts w:ascii="Calibri" w:hAnsi="Calibri"/>
                <w:sz w:val="22"/>
              </w:rPr>
              <w:t>May 27, 2026</w:t>
            </w:r>
          </w:p>
        </w:tc>
        <w:tc>
          <w:tcPr>
            <w:tcW w:type="dxa" w:w="2160"/>
          </w:tcPr>
          <w:p>
            <w:r>
              <w:rPr>
                <w:rFonts w:ascii="Calibri" w:hAnsi="Calibri"/>
                <w:sz w:val="22"/>
              </w:rPr>
              <w:t>104.8</w:t>
            </w:r>
          </w:p>
        </w:tc>
        <w:tc>
          <w:tcPr>
            <w:tcW w:type="dxa" w:w="2160"/>
          </w:tcPr>
          <w:p>
            <w:r>
              <w:rPr>
                <w:rFonts w:ascii="Calibri" w:hAnsi="Calibri"/>
                <w:sz w:val="22"/>
              </w:rPr>
              <w:t>99.6</w:t>
            </w:r>
          </w:p>
        </w:tc>
        <w:tc>
          <w:tcPr>
            <w:tcW w:type="dxa" w:w="2160"/>
          </w:tcPr>
          <w:p>
            <w:r>
              <w:rPr>
                <w:rFonts w:ascii="Calibri" w:hAnsi="Calibri"/>
                <w:sz w:val="22"/>
              </w:rPr>
              <w:t>105.5</w:t>
            </w:r>
          </w:p>
        </w:tc>
      </w:tr>
      <w:tr>
        <w:tc>
          <w:tcPr>
            <w:tcW w:type="dxa" w:w="2160"/>
          </w:tcPr>
          <w:p>
            <w:r>
              <w:rPr>
                <w:rFonts w:ascii="Calibri" w:hAnsi="Calibri"/>
                <w:sz w:val="22"/>
              </w:rPr>
              <w:t>Jun 15, 2026 (YTD high)</w:t>
            </w:r>
          </w:p>
        </w:tc>
        <w:tc>
          <w:tcPr>
            <w:tcW w:type="dxa" w:w="2160"/>
          </w:tcPr>
          <w:p>
            <w:r>
              <w:rPr>
                <w:rFonts w:ascii="Calibri" w:hAnsi="Calibri"/>
                <w:sz w:val="22"/>
              </w:rPr>
              <w:t>112.9</w:t>
            </w:r>
          </w:p>
        </w:tc>
        <w:tc>
          <w:tcPr>
            <w:tcW w:type="dxa" w:w="2160"/>
          </w:tcPr>
          <w:p>
            <w:r>
              <w:rPr>
                <w:rFonts w:ascii="Calibri" w:hAnsi="Calibri"/>
                <w:sz w:val="22"/>
              </w:rPr>
              <w:t>102.1</w:t>
            </w:r>
          </w:p>
        </w:tc>
        <w:tc>
          <w:tcPr>
            <w:tcW w:type="dxa" w:w="2160"/>
          </w:tcPr>
          <w:p>
            <w:r>
              <w:rPr>
                <w:rFonts w:ascii="Calibri" w:hAnsi="Calibri"/>
                <w:sz w:val="22"/>
              </w:rPr>
              <w:t>106.1</w:t>
            </w:r>
          </w:p>
        </w:tc>
      </w:tr>
      <w:tr>
        <w:tc>
          <w:tcPr>
            <w:tcW w:type="dxa" w:w="2160"/>
          </w:tcPr>
          <w:p>
            <w:r>
              <w:rPr>
                <w:rFonts w:ascii="Calibri" w:hAnsi="Calibri"/>
                <w:sz w:val="22"/>
              </w:rPr>
              <w:t>Jul 2, 2026</w:t>
            </w:r>
          </w:p>
        </w:tc>
        <w:tc>
          <w:tcPr>
            <w:tcW w:type="dxa" w:w="2160"/>
          </w:tcPr>
          <w:p>
            <w:r>
              <w:rPr>
                <w:rFonts w:ascii="Calibri" w:hAnsi="Calibri"/>
                <w:sz w:val="22"/>
              </w:rPr>
              <w:t>116.4</w:t>
            </w:r>
          </w:p>
        </w:tc>
        <w:tc>
          <w:tcPr>
            <w:tcW w:type="dxa" w:w="2160"/>
          </w:tcPr>
          <w:p>
            <w:r>
              <w:rPr>
                <w:rFonts w:ascii="Calibri" w:hAnsi="Calibri"/>
                <w:sz w:val="22"/>
              </w:rPr>
              <w:t>101.2</w:t>
            </w:r>
          </w:p>
        </w:tc>
        <w:tc>
          <w:tcPr>
            <w:tcW w:type="dxa" w:w="2160"/>
          </w:tcPr>
          <w:p>
            <w:r>
              <w:rPr>
                <w:rFonts w:ascii="Calibri" w:hAnsi="Calibri"/>
                <w:sz w:val="22"/>
              </w:rPr>
              <w:t>104.6</w:t>
            </w:r>
          </w:p>
        </w:tc>
      </w:tr>
      <w:tr>
        <w:tc>
          <w:tcPr>
            <w:tcW w:type="dxa" w:w="2160"/>
          </w:tcPr>
          <w:p>
            <w:r>
              <w:rPr>
                <w:rFonts w:ascii="Calibri" w:hAnsi="Calibri"/>
                <w:sz w:val="22"/>
              </w:rPr>
              <w:t>Jul 8, 2026 (pullback)</w:t>
            </w:r>
          </w:p>
        </w:tc>
        <w:tc>
          <w:tcPr>
            <w:tcW w:type="dxa" w:w="2160"/>
          </w:tcPr>
          <w:p>
            <w:r>
              <w:rPr>
                <w:rFonts w:ascii="Calibri" w:hAnsi="Calibri"/>
                <w:sz w:val="22"/>
              </w:rPr>
              <w:t>106.1</w:t>
            </w:r>
          </w:p>
        </w:tc>
        <w:tc>
          <w:tcPr>
            <w:tcW w:type="dxa" w:w="2160"/>
          </w:tcPr>
          <w:p>
            <w:r>
              <w:rPr>
                <w:rFonts w:ascii="Calibri" w:hAnsi="Calibri"/>
                <w:sz w:val="22"/>
              </w:rPr>
              <w:t>97.6</w:t>
            </w:r>
          </w:p>
        </w:tc>
        <w:tc>
          <w:tcPr>
            <w:tcW w:type="dxa" w:w="2160"/>
          </w:tcPr>
          <w:p>
            <w:r>
              <w:rPr>
                <w:rFonts w:ascii="Calibri" w:hAnsi="Calibri"/>
                <w:sz w:val="22"/>
              </w:rPr>
              <w:t>104.7</w:t>
            </w:r>
          </w:p>
        </w:tc>
      </w:tr>
      <w:tr>
        <w:tc>
          <w:tcPr>
            <w:tcW w:type="dxa" w:w="2160"/>
          </w:tcPr>
          <w:p>
            <w:r>
              <w:rPr>
                <w:rFonts w:ascii="Calibri" w:hAnsi="Calibri"/>
                <w:sz w:val="22"/>
              </w:rPr>
              <w:t>Jul 28, 2026 (latest)</w:t>
            </w:r>
          </w:p>
        </w:tc>
        <w:tc>
          <w:tcPr>
            <w:tcW w:type="dxa" w:w="2160"/>
          </w:tcPr>
          <w:p>
            <w:r>
              <w:rPr>
                <w:rFonts w:ascii="Calibri" w:hAnsi="Calibri"/>
                <w:sz w:val="22"/>
              </w:rPr>
              <w:t>110.0</w:t>
            </w:r>
          </w:p>
        </w:tc>
        <w:tc>
          <w:tcPr>
            <w:tcW w:type="dxa" w:w="2160"/>
          </w:tcPr>
          <w:p>
            <w:r>
              <w:rPr>
                <w:rFonts w:ascii="Calibri" w:hAnsi="Calibri"/>
                <w:sz w:val="22"/>
              </w:rPr>
              <w:t>100.0</w:t>
            </w:r>
          </w:p>
        </w:tc>
        <w:tc>
          <w:tcPr>
            <w:tcW w:type="dxa" w:w="2160"/>
          </w:tcPr>
          <w:p>
            <w:r>
              <w:rPr>
                <w:rFonts w:ascii="Calibri" w:hAnsi="Calibri"/>
                <w:sz w:val="22"/>
              </w:rPr>
              <w:t>103.9</w:t>
            </w:r>
          </w:p>
        </w:tc>
      </w:tr>
    </w:tbl>
    <w:p>
      <w:r>
        <w:rPr>
          <w:rFonts w:ascii="Calibri" w:hAnsi="Calibri"/>
          <w:i/>
          <w:color w:val="525866"/>
          <w:sz w:val="22"/>
        </w:rPr>
        <w:t>Source: Yahoo Finance / Stock Price Data. Base date: April 28, 2026 (PPG Q1 2026 earnings release date). PPG: $107.68 → $118.47 (+10.0%). XLB: $51.40 → $51.39 (flat, -0.02%). SPY: $711.69 → $739.09 (+3.9%). Sector ETF: XLB (Materials Select Sector SPDR) — appropriate for PPG's specialty chemicals / coatings sub-sector.</w:t>
      </w:r>
    </w:p>
    <w:p>
      <w:r>
        <w:rPr>
          <w:rFonts w:ascii="Calibri" w:hAnsi="Calibri"/>
          <w:b/>
          <w:color w:val="525866"/>
          <w:sz w:val="22"/>
        </w:rPr>
        <w:t xml:space="preserve">Performance Decomposition: </w:t>
      </w:r>
      <w:r>
        <w:rPr>
          <w:rFonts w:ascii="Calibri" w:hAnsi="Calibri"/>
          <w:color w:val="525866"/>
          <w:sz w:val="22"/>
        </w:rPr>
        <w:t>Over the 3-month window, PPG's +7.9% price gain was accompanied by EV/EBITDA multiple expansion from 10.39x to 10.64x (+2.4%), suggesting roughly one-third of the move was multiple-driven and two-thirds was earnings/estimate-driven. Over the 1-month window, PPG declined -3.2% alongside a -3.7% multiple contraction, consistent with the broader market pullback in mid-July. The NTM P/E of 14.0x and EV/EBITDA of 10.6x remain at a discount to historical averages, supporting management's view that the stock is undervalued. The stock's outperformance vs. XLB (+10pp since earnings) reflects idiosyncratic re-rating on the H2 recovery thesis, not sector tailwinds.</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CFO transition (Vince Morales → Jamie Beggs, effective July 6)</w:t>
      </w:r>
      <w:r>
        <w:rPr>
          <w:rFonts w:ascii="Calibri" w:hAnsi="Calibri"/>
          <w:color w:val="525866"/>
          <w:sz w:val="22"/>
        </w:rPr>
        <w:t xml:space="preserve"> combined with the ongoing </w:t>
      </w:r>
      <w:r>
        <w:rPr>
          <w:rFonts w:ascii="Calibri" w:hAnsi="Calibri"/>
          <w:b/>
          <w:color w:val="525866"/>
          <w:sz w:val="22"/>
        </w:rPr>
        <w:t>geopolitical raw material inflation cycle</w:t>
      </w:r>
      <w:r>
        <w:rPr>
          <w:rFonts w:ascii="Calibri" w:hAnsi="Calibri"/>
          <w:color w:val="525866"/>
          <w:sz w:val="22"/>
        </w:rPr>
        <w:t xml:space="preserve"> — both introduce incremental uncertainty into the Q2 print and H2 guidance credibility, though management has been proactive on pricing.</w:t>
      </w:r>
    </w:p>
    <w:p>
      <w:pPr>
        <w:pStyle w:val="ListBullet"/>
        <w:ind w:left="360" w:hanging="360"/>
      </w:pPr>
      <w:r>
        <w:rPr>
          <w:rFonts w:ascii="Calibri" w:hAnsi="Calibri"/>
          <w:b/>
          <w:color w:val="525866"/>
          <w:sz w:val="22"/>
        </w:rPr>
        <w:t xml:space="preserve">July 6, 2026 — CFO Transition: </w:t>
      </w:r>
      <w:r>
        <w:rPr>
          <w:rFonts w:ascii="Calibri" w:hAnsi="Calibri"/>
          <w:color w:val="525866"/>
          <w:sz w:val="22"/>
        </w:rPr>
        <w:t xml:space="preserve">Vince Morales retired after a 41-year career at PPG; Jamie Beggs (former Avient CFO) assumed the CFO role. </w:t>
      </w:r>
      <w:r>
        <w:rPr>
          <w:rFonts w:ascii="Calibri" w:hAnsi="Calibri"/>
          <w:i/>
          <w:color w:val="525866"/>
          <w:sz w:val="22"/>
        </w:rPr>
        <w:t xml:space="preserve">Implication: </w:t>
      </w:r>
      <w:r>
        <w:rPr>
          <w:rFonts w:ascii="Calibri" w:hAnsi="Calibri"/>
          <w:i/>
          <w:color w:val="525866"/>
          <w:sz w:val="22"/>
        </w:rPr>
        <w:t>First earnings call with new CFO introduces modest execution risk on guidance communication; Beggs brings external perspective but lacks PPG-specific institutional knowledge. Watch for any tone shift on capital allocation or guidance framing.</w:t>
      </w:r>
    </w:p>
    <w:p>
      <w:pPr>
        <w:pStyle w:val="ListBullet"/>
        <w:ind w:left="360" w:hanging="360"/>
      </w:pPr>
      <w:r>
        <w:rPr>
          <w:rFonts w:ascii="Calibri" w:hAnsi="Calibri"/>
          <w:b/>
          <w:color w:val="525866"/>
          <w:sz w:val="22"/>
        </w:rPr>
        <w:t xml:space="preserve">June 30, 2026 — Q2 2026 Earnings Announcement Scheduled: </w:t>
      </w:r>
      <w:r>
        <w:rPr>
          <w:rFonts w:ascii="Calibri" w:hAnsi="Calibri"/>
          <w:color w:val="525866"/>
          <w:sz w:val="22"/>
        </w:rPr>
        <w:t>PPG confirmed Q2 2026 results will be released July 28, 2026. No pre-announcement or guidance revision was issued, suggesting results are tracking within the guided range.</w:t>
      </w:r>
    </w:p>
    <w:p>
      <w:pPr>
        <w:pStyle w:val="ListBullet"/>
        <w:ind w:left="360" w:hanging="360"/>
      </w:pPr>
      <w:r>
        <w:rPr>
          <w:rFonts w:ascii="Calibri" w:hAnsi="Calibri"/>
          <w:b/>
          <w:color w:val="525866"/>
          <w:sz w:val="22"/>
        </w:rPr>
        <w:t xml:space="preserve">April 28–29, 2026 — Q1 2026 Earnings &amp; Guidance: </w:t>
      </w:r>
      <w:r>
        <w:rPr>
          <w:rFonts w:ascii="Calibri" w:hAnsi="Calibri"/>
          <w:color w:val="525866"/>
          <w:sz w:val="22"/>
        </w:rPr>
        <w:t xml:space="preserve">PPG reported Q1 adjusted EPS of $1.83 (+6% YoY, beat consensus of ~$1.76) and net sales of $3.93B (+7% YoY, beat consensus of ~$3.83B). Management reaffirmed FY 2026 EPS guidance of $7.70–$8.10 and guided Q2 to flat-to-low-single-digit organic sales and EPS growth. </w:t>
      </w:r>
      <w:r>
        <w:rPr>
          <w:rFonts w:ascii="Calibri" w:hAnsi="Calibri"/>
          <w:i/>
          <w:color w:val="525866"/>
          <w:sz w:val="22"/>
        </w:rPr>
        <w:t xml:space="preserve">Implication: </w:t>
      </w:r>
      <w:r>
        <w:rPr>
          <w:rFonts w:ascii="Calibri" w:hAnsi="Calibri"/>
          <w:i/>
          <w:color w:val="525866"/>
          <w:sz w:val="22"/>
        </w:rPr>
        <w:t>The Q1 beat was partially pre-announced (April 15 pre-announcement), limiting the stock's positive reaction. Q2 guidance was seen as modest, setting a low bar.</w:t>
      </w:r>
    </w:p>
    <w:p>
      <w:pPr>
        <w:pStyle w:val="ListBullet"/>
        <w:ind w:left="360" w:hanging="360"/>
      </w:pPr>
      <w:r>
        <w:rPr>
          <w:rFonts w:ascii="Calibri" w:hAnsi="Calibri"/>
          <w:b/>
          <w:color w:val="525866"/>
          <w:sz w:val="22"/>
        </w:rPr>
        <w:t xml:space="preserve">April 2026 — Geopolitical Raw Material Inflation Cycle (Iran Conflict): </w:t>
      </w:r>
      <w:r>
        <w:rPr>
          <w:rFonts w:ascii="Calibri" w:hAnsi="Calibri"/>
          <w:color w:val="525866"/>
          <w:sz w:val="22"/>
        </w:rPr>
        <w:t xml:space="preserve">PPG announced global price increases of up to 20% in response to rising petrochemical, energy, and logistics costs driven by the Iran conflict. Management guided to a mid-single-digit COGS increase for the remainder of 2026, requiring low-single-digit pricing realization to offset. </w:t>
      </w:r>
      <w:r>
        <w:rPr>
          <w:rFonts w:ascii="Calibri" w:hAnsi="Calibri"/>
          <w:i/>
          <w:color w:val="525866"/>
          <w:sz w:val="22"/>
        </w:rPr>
        <w:t xml:space="preserve">Implication: </w:t>
      </w:r>
      <w:r>
        <w:rPr>
          <w:rFonts w:ascii="Calibri" w:hAnsi="Calibri"/>
          <w:i/>
          <w:color w:val="525866"/>
          <w:sz w:val="22"/>
        </w:rPr>
        <w:t>Price/cost dynamics are the key margin swing factor for Q2; faster-than-expected pricing realization (management says "months" vs. prior cycles of 1–1.5 years) could drive upside to EBITDA margins.</w:t>
      </w:r>
    </w:p>
    <w:p>
      <w:pPr>
        <w:pStyle w:val="ListBullet"/>
        <w:ind w:left="360" w:hanging="360"/>
      </w:pPr>
      <w:r>
        <w:rPr>
          <w:rFonts w:ascii="Calibri" w:hAnsi="Calibri"/>
          <w:b/>
          <w:color w:val="525866"/>
          <w:sz w:val="22"/>
        </w:rPr>
        <w:t xml:space="preserve">2026 (YTD) — Bolt-On Acquisitions: </w:t>
      </w:r>
      <w:r>
        <w:rPr>
          <w:rFonts w:ascii="Calibri" w:hAnsi="Calibri"/>
          <w:color w:val="525866"/>
          <w:sz w:val="22"/>
        </w:rPr>
        <w:t xml:space="preserve">PPG completed two small acquisitions: Ozark (Traffic Solutions segment) and an allied products acquisition for industrial refinish lines. </w:t>
      </w:r>
      <w:r>
        <w:rPr>
          <w:rFonts w:ascii="Calibri" w:hAnsi="Calibri"/>
          <w:i/>
          <w:color w:val="525866"/>
          <w:sz w:val="22"/>
        </w:rPr>
        <w:t xml:space="preserve">Implication: </w:t>
      </w:r>
      <w:r>
        <w:rPr>
          <w:rFonts w:ascii="Calibri" w:hAnsi="Calibri"/>
          <w:i/>
          <w:color w:val="525866"/>
          <w:sz w:val="22"/>
        </w:rPr>
        <w:t>Modest revenue contribution; consistent with management's selective, disciplined M&amp;A posture. Not a material earnings driver for Q2.</w:t>
      </w:r>
    </w:p>
    <w:p>
      <w:pPr>
        <w:pStyle w:val="ListBullet"/>
        <w:ind w:left="360" w:hanging="360"/>
      </w:pPr>
      <w:r>
        <w:rPr>
          <w:rFonts w:ascii="Calibri" w:hAnsi="Calibri"/>
          <w:b/>
          <w:color w:val="525866"/>
          <w:sz w:val="22"/>
        </w:rPr>
        <w:t xml:space="preserve">Ongoing — Automotive Refinish Normalization: </w:t>
      </w:r>
      <w:r>
        <w:rPr>
          <w:rFonts w:ascii="Calibri" w:hAnsi="Calibri"/>
          <w:color w:val="525866"/>
          <w:sz w:val="22"/>
        </w:rPr>
        <w:t xml:space="preserve">U.S. industry accident claims improved to near-flat declines in February and March 2026 (down ~1% YoY), with 3 of the last 4 months showing low-single-digit declines vs. high-single-digit to double-digit declines in 2025. U.S. distributor fulfillment orders are sequentially improving. </w:t>
      </w:r>
      <w:r>
        <w:rPr>
          <w:rFonts w:ascii="Calibri" w:hAnsi="Calibri"/>
          <w:i/>
          <w:color w:val="525866"/>
          <w:sz w:val="22"/>
        </w:rPr>
        <w:t xml:space="preserve">Implication: </w:t>
      </w:r>
      <w:r>
        <w:rPr>
          <w:rFonts w:ascii="Calibri" w:hAnsi="Calibri"/>
          <w:i/>
          <w:color w:val="525866"/>
          <w:sz w:val="22"/>
        </w:rPr>
        <w:t>Recovery is tracking ahead of initial expectations; if this trend continued through Q2, refinish volumes could surprise positively and provide significant H2 margin leverage.</w:t>
      </w:r>
    </w:p>
    <w:p>
      <w:pPr>
        <w:pStyle w:val="ListBullet"/>
        <w:ind w:left="360" w:hanging="360"/>
      </w:pPr>
      <w:r>
        <w:rPr>
          <w:rFonts w:ascii="Calibri" w:hAnsi="Calibri"/>
          <w:b/>
          <w:color w:val="525866"/>
          <w:sz w:val="22"/>
        </w:rPr>
        <w:t xml:space="preserve">Ongoing — Aerospace Capacity Expansion: </w:t>
      </w:r>
      <w:r>
        <w:rPr>
          <w:rFonts w:ascii="Calibri" w:hAnsi="Calibri"/>
          <w:color w:val="525866"/>
          <w:sz w:val="22"/>
        </w:rPr>
        <w:t xml:space="preserve">PPG invested ~$150M in debottlenecking over the past year; a new $380M aerospace plant is planned for ~2028 step-change output. Backlog remains ~$315M despite year-over-year output increases. </w:t>
      </w:r>
      <w:r>
        <w:rPr>
          <w:rFonts w:ascii="Calibri" w:hAnsi="Calibri"/>
          <w:i/>
          <w:color w:val="525866"/>
          <w:sz w:val="22"/>
        </w:rPr>
        <w:t xml:space="preserve">Implication: </w:t>
      </w:r>
      <w:r>
        <w:rPr>
          <w:rFonts w:ascii="Calibri" w:hAnsi="Calibri"/>
          <w:i/>
          <w:color w:val="525866"/>
          <w:sz w:val="22"/>
        </w:rPr>
        <w:t>Aerospace is essentially sold out; every incremental output unit translates directly to revenue. Continued double-digit organic growth expected in Q2.</w:t>
      </w:r>
    </w:p>
    <w:p>
      <w:pPr>
        <w:pStyle w:val="ListBullet"/>
        <w:ind w:left="360" w:hanging="360"/>
      </w:pPr>
      <w:r>
        <w:rPr>
          <w:rFonts w:ascii="Calibri" w:hAnsi="Calibri"/>
          <w:b/>
          <w:color w:val="525866"/>
          <w:sz w:val="22"/>
        </w:rPr>
        <w:t xml:space="preserve">Ongoing — European Architectural Restructuring: </w:t>
      </w:r>
      <w:r>
        <w:rPr>
          <w:rFonts w:ascii="Calibri" w:hAnsi="Calibri"/>
          <w:color w:val="525866"/>
          <w:sz w:val="22"/>
        </w:rPr>
        <w:t xml:space="preserve">Four manufacturing plant closures planned for H2 2026, generating ~$25M in fixed cost savings (run-rate in 2027) and ~$50M total restructuring benefits in 2026. </w:t>
      </w:r>
      <w:r>
        <w:rPr>
          <w:rFonts w:ascii="Calibri" w:hAnsi="Calibri"/>
          <w:i/>
          <w:color w:val="525866"/>
          <w:sz w:val="22"/>
        </w:rPr>
        <w:t xml:space="preserve">Implication: </w:t>
      </w:r>
      <w:r>
        <w:rPr>
          <w:rFonts w:ascii="Calibri" w:hAnsi="Calibri"/>
          <w:i/>
          <w:color w:val="525866"/>
          <w:sz w:val="22"/>
        </w:rPr>
        <w:t>Restructuring charges may weigh on reported EPS in Q2/Q3; adjusted EPS impact should be minimal.</w:t>
      </w:r>
    </w:p>
    <w:p>
      <w:pPr>
        <w:pStyle w:val="ListBullet"/>
        <w:ind w:left="360" w:hanging="360"/>
      </w:pPr>
      <w:r>
        <w:rPr>
          <w:rFonts w:ascii="Calibri" w:hAnsi="Calibri"/>
          <w:b/>
          <w:color w:val="525866"/>
          <w:sz w:val="22"/>
        </w:rPr>
        <w:t xml:space="preserve">July 23, 2026 — Axalta/AkzoNobel Merger Amendment: </w:t>
      </w:r>
      <w:r>
        <w:rPr>
          <w:rFonts w:ascii="Calibri" w:hAnsi="Calibri"/>
          <w:color w:val="525866"/>
          <w:sz w:val="22"/>
        </w:rPr>
        <w:t xml:space="preserve">Axalta and AkzoNobel amended their merger agreement to revise governance structure; special stockholder meeting set for August 5, 2026. </w:t>
      </w:r>
      <w:r>
        <w:rPr>
          <w:rFonts w:ascii="Calibri" w:hAnsi="Calibri"/>
          <w:i/>
          <w:color w:val="525866"/>
          <w:sz w:val="22"/>
        </w:rPr>
        <w:t xml:space="preserve">Implication: </w:t>
      </w:r>
      <w:r>
        <w:rPr>
          <w:rFonts w:ascii="Calibri" w:hAnsi="Calibri"/>
          <w:i/>
          <w:color w:val="525866"/>
          <w:sz w:val="22"/>
        </w:rPr>
        <w:t>Indirect read-through for PPG: consolidation in the coatings industry could affect competitive dynamics in automotive refinish and architectural coatings. Not a near-term PPG earnings driver.</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codes P/S) were identified for PPG in the period from April 28 to July 28, 2026. The absence of insider buying is not particularly notable given the CFO transition and typical quiet-period restrictions ahead of earnings; the absence of selling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transactions found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open-market buys or sells (Form 4 codes P/S) identified for PPG in the Apr 28 – Jul 28, 2026 window per SEC Form 4 database query</w:t>
            </w:r>
          </w:p>
        </w:tc>
      </w:tr>
    </w:tbl>
    <w:p>
      <w:r>
        <w:rPr>
          <w:rFonts w:ascii="Calibri" w:hAnsi="Calibri"/>
          <w:i/>
          <w:color w:val="525866"/>
          <w:sz w:val="22"/>
        </w:rPr>
        <w:t>Source: SEC Form 4 Filings Database. Query covered April 28 – July 28, 2026 for PPG, filtered on open-market transaction codes P (purchase) and S (sale). No qualifying transactions were returned. Note: The CFO transition (Vince Morales retiring July 6; Jamie Beggs joining) may have affected typical insider transaction patterns during this period. Pre-earnings quiet periods typically restrict insider trading in the 30 days prior to an earnings release.</w:t>
      </w:r>
    </w:p>
    <w:p>
      <w:r>
        <w:br w:type="page"/>
      </w:r>
    </w:p>
    <w:p>
      <w:pPr>
        <w:pStyle w:val="Heading2"/>
      </w:pPr>
      <w:r>
        <w:rPr>
          <w:rFonts w:ascii="Calibri" w:hAnsi="Calibri"/>
          <w:b/>
          <w:color w:val="3B4259"/>
          <w:sz w:val="28"/>
        </w:rPr>
        <w:t>Peer Commentary: Current-Quarter Read-Throughs (Last 60 Days)</w:t>
      </w:r>
    </w:p>
    <w:p>
      <w:r>
        <w:rPr>
          <w:rFonts w:ascii="Calibri" w:hAnsi="Calibri"/>
          <w:b/>
          <w:color w:val="525866"/>
          <w:sz w:val="22"/>
        </w:rPr>
        <w:t xml:space="preserve">Scope &amp; Methodology: </w:t>
      </w:r>
      <w:r>
        <w:rPr>
          <w:rFonts w:ascii="Calibri" w:hAnsi="Calibri"/>
          <w:color w:val="525866"/>
          <w:sz w:val="22"/>
        </w:rPr>
        <w:t xml:space="preserve">This section includes only commentary from peer companies that speaks to the </w:t>
      </w:r>
      <w:r>
        <w:rPr>
          <w:rFonts w:ascii="Calibri" w:hAnsi="Calibri"/>
          <w:b/>
          <w:color w:val="525866"/>
          <w:sz w:val="22"/>
        </w:rPr>
        <w:t>April–June 2026 (Q2 2026 calendar quarter) trading environment</w:t>
      </w:r>
      <w:r>
        <w:rPr>
          <w:rFonts w:ascii="Calibri" w:hAnsi="Calibri"/>
          <w:color w:val="525866"/>
          <w:sz w:val="22"/>
        </w:rPr>
        <w:t xml:space="preserve"> or provides a forward outlook relevant to PPG's current reporting period. Backward-looking commentary about prior-quarter results (e.g., a peer discussing their own Q1 2025 performance) is excluded. Two qualifying peer documents were identified: (1) RPM International Q4 FY2026 earnings (July 22, 2026) — RPM's fiscal Q4 covers March–May 2026, directly overlapping with PPG's Q2 2026 calendar quarter; and (2) Eastman Chemical Deutsche Bank Basic Materials Conference (June 3, 2026) — commentary on current Q2 2026 demand conditions. SHW reports the same day as PPG (July 28) and no pre-release commentary was available.</w:t>
      </w:r>
    </w:p>
    <w:p>
      <w:pPr>
        <w:pStyle w:val="Heading3"/>
      </w:pPr>
      <w:r>
        <w:rPr>
          <w:rFonts w:ascii="Calibri" w:hAnsi="Calibri"/>
          <w:b/>
          <w:color w:val="3B4259"/>
          <w:sz w:val="24"/>
        </w:rPr>
        <w:t>1. RPM International (RPM) — Q4 FY2026 Earnings Call, July 22, 2026</w:t>
      </w:r>
    </w:p>
    <w:p>
      <w:r>
        <w:rPr>
          <w:rFonts w:ascii="Calibri" w:hAnsi="Calibri"/>
          <w:b/>
          <w:color w:val="525866"/>
          <w:sz w:val="22"/>
        </w:rPr>
        <w:t xml:space="preserve">Relevance: </w:t>
      </w:r>
      <w:r>
        <w:rPr>
          <w:rFonts w:ascii="Calibri" w:hAnsi="Calibri"/>
          <w:color w:val="525866"/>
          <w:sz w:val="22"/>
        </w:rPr>
        <w:t>RPM's fiscal Q4 2026 (March–May 2026) directly overlaps with PPG's Q2 2026 (April–June 2026). RPM is a specialty coatings and sealants company with significant exposure to construction, industrial, and consumer end markets. RPM reported July 22, 2026 — six days before PPG.</w:t>
      </w:r>
    </w:p>
    <w:p>
      <w:r>
        <w:rPr>
          <w:rFonts w:ascii="Calibri" w:hAnsi="Calibri"/>
          <w:b/>
          <w:color w:val="525866"/>
          <w:sz w:val="22"/>
        </w:rPr>
        <w:t xml:space="preserve">Limitations: </w:t>
      </w:r>
      <w:r>
        <w:rPr>
          <w:rFonts w:ascii="Calibri" w:hAnsi="Calibri"/>
          <w:color w:val="525866"/>
          <w:sz w:val="22"/>
        </w:rPr>
        <w:t>RPM's fiscal Q4 ends May 31 (vs. PPG's June 30), so the June month is not captured. RPM's product mix (maintenance/restoration, building materials, consumer DIY) differs from PPG's core automotive refinish, aerospace, and architectural coatings. RPM's consumer segment (Rust-Oleum, DAP) is more DIY-weighted than PPG's architectural business.</w:t>
      </w:r>
    </w:p>
    <w:p>
      <w:pPr>
        <w:pStyle w:val="Heading4"/>
      </w:pPr>
      <w:r>
        <w:rPr>
          <w:rFonts w:ascii="Calibri" w:hAnsi="Calibri"/>
          <w:b/>
          <w:color w:val="3B4259"/>
          <w:sz w:val="22"/>
        </w:rPr>
        <w:t>RPM Read-Through: End-Market Demand (Mar–May 2026)</w:t>
      </w:r>
    </w:p>
    <w:p>
      <w:pPr>
        <w:pStyle w:val="ListBullet"/>
        <w:ind w:left="360" w:hanging="360"/>
      </w:pPr>
      <w:r>
        <w:rPr>
          <w:rFonts w:ascii="Calibri" w:hAnsi="Calibri"/>
          <w:b/>
          <w:color w:val="525866"/>
          <w:sz w:val="22"/>
        </w:rPr>
        <w:t xml:space="preserve">Construction / Industrial (Positive Read-Through): </w:t>
      </w:r>
      <w:r>
        <w:rPr>
          <w:rFonts w:ascii="Calibri" w:hAnsi="Calibri"/>
          <w:color w:val="525866"/>
          <w:sz w:val="22"/>
        </w:rPr>
        <w:t xml:space="preserve">RPM's Construction Products Group (CPG) and Performance Coatings Group (PCG) delivered record sales in fiscal Q4 2026, with CPG organic growth of +5.7% and PCG organic growth of +2.2%. Growth was driven by "engineered solutions for high-performance buildings and infrastructure projects," with data centers, energy infrastructure, and roofing restoration as the strongest end markets. North American sales were up a solid 5%. </w:t>
      </w:r>
      <w:r>
        <w:rPr>
          <w:rFonts w:ascii="Calibri" w:hAnsi="Calibri"/>
          <w:i/>
          <w:color w:val="525866"/>
          <w:sz w:val="22"/>
        </w:rPr>
        <w:t xml:space="preserve">PPG read-through: </w:t>
      </w:r>
      <w:r>
        <w:rPr>
          <w:rFonts w:ascii="Calibri" w:hAnsi="Calibri"/>
          <w:i/>
          <w:color w:val="525866"/>
          <w:sz w:val="22"/>
        </w:rPr>
        <w:t>Positive signal for PPG's protective &amp; marine coatings and traffic solutions businesses, which serve similar infrastructure and industrial end markets.</w:t>
      </w:r>
    </w:p>
    <w:p>
      <w:pPr>
        <w:pStyle w:val="ListBullet"/>
        <w:ind w:left="360" w:hanging="360"/>
      </w:pPr>
      <w:r>
        <w:rPr>
          <w:rFonts w:ascii="Calibri" w:hAnsi="Calibri"/>
          <w:b/>
          <w:color w:val="525866"/>
          <w:sz w:val="22"/>
        </w:rPr>
        <w:t xml:space="preserve">Consumer / DIY (Negative Read-Through): </w:t>
      </w:r>
      <w:r>
        <w:rPr>
          <w:rFonts w:ascii="Calibri" w:hAnsi="Calibri"/>
          <w:color w:val="525866"/>
          <w:sz w:val="22"/>
        </w:rPr>
        <w:t xml:space="preserve">RPM's Consumer Group (Rust-Oleum, DAP) experienced "softness in DIY markets" with a -0.8% organic decline in fiscal Q4. RPM noted that "DIY markets have been flat to down pretty consistently month by month for the last two years." However, RPM also noted the consumer segment is "showing signs of stabilization after a prolonged downturn" and that "it does feel like... we're hitting bottom." </w:t>
      </w:r>
      <w:r>
        <w:rPr>
          <w:rFonts w:ascii="Calibri" w:hAnsi="Calibri"/>
          <w:i/>
          <w:color w:val="525866"/>
          <w:sz w:val="22"/>
        </w:rPr>
        <w:t xml:space="preserve">PPG read-through: </w:t>
      </w:r>
      <w:r>
        <w:rPr>
          <w:rFonts w:ascii="Calibri" w:hAnsi="Calibri"/>
          <w:i/>
          <w:color w:val="525866"/>
          <w:sz w:val="22"/>
        </w:rPr>
        <w:t>Modest negative signal for PPG's U.S. architectural coatings (DIY channel), though PPG's architectural business is more pro-weighted and geographically diversified (strong Latin America). Stabilization commentary is incrementally positive.</w:t>
      </w:r>
    </w:p>
    <w:p>
      <w:pPr>
        <w:pStyle w:val="ListBullet"/>
        <w:ind w:left="360" w:hanging="360"/>
      </w:pPr>
      <w:r>
        <w:rPr>
          <w:rFonts w:ascii="Calibri" w:hAnsi="Calibri"/>
          <w:b/>
          <w:color w:val="525866"/>
          <w:sz w:val="22"/>
        </w:rPr>
        <w:t xml:space="preserve">Emerging Markets (Positive Read-Through): </w:t>
      </w:r>
      <w:r>
        <w:rPr>
          <w:rFonts w:ascii="Calibri" w:hAnsi="Calibri"/>
          <w:color w:val="525866"/>
          <w:sz w:val="22"/>
        </w:rPr>
        <w:t xml:space="preserve">RPM's international regions generated "double-digit growth" in fiscal Q4, led by emerging markets with strong demand for engineered solutions. </w:t>
      </w:r>
      <w:r>
        <w:rPr>
          <w:rFonts w:ascii="Calibri" w:hAnsi="Calibri"/>
          <w:i/>
          <w:color w:val="525866"/>
          <w:sz w:val="22"/>
        </w:rPr>
        <w:t xml:space="preserve">PPG read-through: </w:t>
      </w:r>
      <w:r>
        <w:rPr>
          <w:rFonts w:ascii="Calibri" w:hAnsi="Calibri"/>
          <w:i/>
          <w:color w:val="525866"/>
          <w:sz w:val="22"/>
        </w:rPr>
        <w:t>Positive signal for PPG's Latin America architectural coatings (Mexico retail especially strong per Q1 call) and Asia Pacific operations.</w:t>
      </w:r>
    </w:p>
    <w:p>
      <w:pPr>
        <w:pStyle w:val="ListBullet"/>
        <w:ind w:left="360" w:hanging="360"/>
      </w:pPr>
      <w:r>
        <w:rPr>
          <w:rFonts w:ascii="Calibri" w:hAnsi="Calibri"/>
          <w:b/>
          <w:color w:val="525866"/>
          <w:sz w:val="22"/>
        </w:rPr>
        <w:t xml:space="preserve">Underlying Commercial Construction (Cautionary): </w:t>
      </w:r>
      <w:r>
        <w:rPr>
          <w:rFonts w:ascii="Calibri" w:hAnsi="Calibri"/>
          <w:color w:val="525866"/>
          <w:sz w:val="22"/>
        </w:rPr>
        <w:t xml:space="preserve">RPM explicitly noted that "underlying commercial construction continues to be weak and we don't see that changing." </w:t>
      </w:r>
      <w:r>
        <w:rPr>
          <w:rFonts w:ascii="Calibri" w:hAnsi="Calibri"/>
          <w:i/>
          <w:color w:val="525866"/>
          <w:sz w:val="22"/>
        </w:rPr>
        <w:t xml:space="preserve">PPG read-through: </w:t>
      </w:r>
      <w:r>
        <w:rPr>
          <w:rFonts w:ascii="Calibri" w:hAnsi="Calibri"/>
          <w:i/>
          <w:color w:val="525866"/>
          <w:sz w:val="22"/>
        </w:rPr>
        <w:t>Consistent with PPG's own cautious tone on European architectural coatings; limited direct impact on PPG's core segments.</w:t>
      </w:r>
    </w:p>
    <w:p>
      <w:pPr>
        <w:pStyle w:val="Heading4"/>
      </w:pPr>
      <w:r>
        <w:rPr>
          <w:rFonts w:ascii="Calibri" w:hAnsi="Calibri"/>
          <w:b/>
          <w:color w:val="3B4259"/>
          <w:sz w:val="22"/>
        </w:rPr>
        <w:t>RPM Read-Through: Pricing &amp; Raw Materials (Mar–May 2026 and Forward Outlook)</w:t>
      </w:r>
    </w:p>
    <w:p>
      <w:pPr>
        <w:pStyle w:val="ListBullet"/>
        <w:ind w:left="360" w:hanging="360"/>
      </w:pPr>
      <w:r>
        <w:rPr>
          <w:rFonts w:ascii="Calibri" w:hAnsi="Calibri"/>
          <w:b/>
          <w:color w:val="525866"/>
          <w:sz w:val="22"/>
        </w:rPr>
        <w:t xml:space="preserve">Pricing Execution (Positive Read-Through): </w:t>
      </w:r>
      <w:r>
        <w:rPr>
          <w:rFonts w:ascii="Calibri" w:hAnsi="Calibri"/>
          <w:color w:val="525866"/>
          <w:sz w:val="22"/>
        </w:rPr>
        <w:t xml:space="preserve">RPM implemented price increases in fiscal Q4 2026 "to offset inflation," with pricing up ~2% in the quarter. RPM stated it has "already implemented price increases to offset this inflation on a dollar basis" and "typically retains 100% of the price we put forward given the strength of our brands." Additional price increases are expected "over the summer" with impact in Q1 and Q2 of RPM's fiscal 2027. </w:t>
      </w:r>
      <w:r>
        <w:rPr>
          <w:rFonts w:ascii="Calibri" w:hAnsi="Calibri"/>
          <w:i/>
          <w:color w:val="525866"/>
          <w:sz w:val="22"/>
        </w:rPr>
        <w:t xml:space="preserve">PPG read-through: </w:t>
      </w:r>
      <w:r>
        <w:rPr>
          <w:rFonts w:ascii="Calibri" w:hAnsi="Calibri"/>
          <w:i/>
          <w:color w:val="525866"/>
          <w:sz w:val="22"/>
        </w:rPr>
        <w:t>Validates PPG's own pricing strategy; industry-wide pricing discipline is intact, reducing the risk that PPG's price increases face significant volume pushback.</w:t>
      </w:r>
    </w:p>
    <w:p>
      <w:pPr>
        <w:pStyle w:val="ListBullet"/>
        <w:ind w:left="360" w:hanging="360"/>
      </w:pPr>
      <w:r>
        <w:rPr>
          <w:rFonts w:ascii="Calibri" w:hAnsi="Calibri"/>
          <w:b/>
          <w:color w:val="525866"/>
          <w:sz w:val="22"/>
        </w:rPr>
        <w:t xml:space="preserve">Raw Material Inflation Trajectory (Mixed Read-Through): </w:t>
      </w:r>
      <w:r>
        <w:rPr>
          <w:rFonts w:ascii="Calibri" w:hAnsi="Calibri"/>
          <w:color w:val="525866"/>
          <w:sz w:val="22"/>
        </w:rPr>
        <w:t xml:space="preserve">RPM guided to raw material inflation of +5–6% in fiscal Q1 2027 (June–August 2026) and "as high as 6–8%" in fiscal Q2 2027 (September–November 2026). RPM noted "spot prices have declined from their peak" but index-based contracts suggest "moderating inflation in the second half of fiscal 2027." A fire at a supplier's plant caused tightness in propylene oxide-derived raw materials; MDI supplies are also tight. </w:t>
      </w:r>
      <w:r>
        <w:rPr>
          <w:rFonts w:ascii="Calibri" w:hAnsi="Calibri"/>
          <w:i/>
          <w:color w:val="525866"/>
          <w:sz w:val="22"/>
        </w:rPr>
        <w:t xml:space="preserve">PPG read-through: </w:t>
      </w:r>
      <w:r>
        <w:rPr>
          <w:rFonts w:ascii="Calibri" w:hAnsi="Calibri"/>
          <w:i/>
          <w:color w:val="525866"/>
          <w:sz w:val="22"/>
        </w:rPr>
        <w:t>Confirms that raw material inflation is a real and ongoing headwind for the coatings industry through at least mid-2026. The 5–8% inflation range RPM is guiding to is broadly consistent with PPG's own "mid-single-digit COGS" guidance. Spot price moderation is a potential tailwind for H2 2026.</w:t>
      </w:r>
    </w:p>
    <w:p>
      <w:pPr>
        <w:pStyle w:val="ListBullet"/>
        <w:ind w:left="360" w:hanging="360"/>
      </w:pPr>
      <w:r>
        <w:rPr>
          <w:rFonts w:ascii="Calibri" w:hAnsi="Calibri"/>
          <w:b/>
          <w:color w:val="525866"/>
          <w:sz w:val="22"/>
        </w:rPr>
        <w:t xml:space="preserve">Price/Cost Dynamics (Cautionary Near-Term): </w:t>
      </w:r>
      <w:r>
        <w:rPr>
          <w:rFonts w:ascii="Calibri" w:hAnsi="Calibri"/>
          <w:color w:val="525866"/>
          <w:sz w:val="22"/>
        </w:rPr>
        <w:t xml:space="preserve">RPM guided that "price costs to be somewhat negative in the first half of the year [fiscal 2027, i.e., June–November 2026] and then become more neutral in the back half as additional price increases are implemented and cost inflation moderates." </w:t>
      </w:r>
      <w:r>
        <w:rPr>
          <w:rFonts w:ascii="Calibri" w:hAnsi="Calibri"/>
          <w:i/>
          <w:color w:val="525866"/>
          <w:sz w:val="22"/>
        </w:rPr>
        <w:t xml:space="preserve">PPG read-through: </w:t>
      </w:r>
      <w:r>
        <w:rPr>
          <w:rFonts w:ascii="Calibri" w:hAnsi="Calibri"/>
          <w:i/>
          <w:color w:val="525866"/>
          <w:sz w:val="22"/>
        </w:rPr>
        <w:t>Suggests that even with proactive pricing, the coatings industry may face a price/cost lag in Q2 2026 (calendar), with neutrality not achieved until Q3–Q4 2026. This is a modest negative read-through for PPG's Q2 EBITDA margins.</w:t>
      </w:r>
    </w:p>
    <w:p>
      <w:pPr>
        <w:pStyle w:val="ListBullet"/>
        <w:ind w:left="360" w:hanging="360"/>
      </w:pPr>
      <w:r>
        <w:rPr>
          <w:rFonts w:ascii="Calibri" w:hAnsi="Calibri"/>
          <w:b/>
          <w:color w:val="525866"/>
          <w:sz w:val="22"/>
        </w:rPr>
        <w:t xml:space="preserve">Tariff &amp; Geopolitical Volatility (Cautionary): </w:t>
      </w:r>
      <w:r>
        <w:rPr>
          <w:rFonts w:ascii="Calibri" w:hAnsi="Calibri"/>
          <w:color w:val="525866"/>
          <w:sz w:val="22"/>
        </w:rPr>
        <w:t xml:space="preserve">RPM CEO Frank Sullivan described fiscal 2027 as "another duke it out, volatile year" citing the "on again, off again situation in the Middle East" and renewed tariff wars. RPM flagged potential increases in packaging costs from tariff renewal. </w:t>
      </w:r>
      <w:r>
        <w:rPr>
          <w:rFonts w:ascii="Calibri" w:hAnsi="Calibri"/>
          <w:i/>
          <w:color w:val="525866"/>
          <w:sz w:val="22"/>
        </w:rPr>
        <w:t xml:space="preserve">PPG read-through: </w:t>
      </w:r>
      <w:r>
        <w:rPr>
          <w:rFonts w:ascii="Calibri" w:hAnsi="Calibri"/>
          <w:i/>
          <w:color w:val="525866"/>
          <w:sz w:val="22"/>
        </w:rPr>
        <w:t>Consistent with PPG's own macro risk framing; reinforces that the operating environment remains volatile and that guidance ranges (rather than point estimates) are appropriate.</w:t>
      </w:r>
    </w:p>
    <w:p>
      <w:pPr>
        <w:pStyle w:val="Heading4"/>
      </w:pPr>
      <w:r>
        <w:rPr>
          <w:rFonts w:ascii="Calibri" w:hAnsi="Calibri"/>
          <w:b/>
          <w:color w:val="3B4259"/>
          <w:sz w:val="22"/>
        </w:rPr>
        <w:t>RPM Forward Outlook (Fiscal Q1 2027 = June–August 2026)</w:t>
      </w:r>
    </w:p>
    <w:p>
      <w:pPr>
        <w:pStyle w:val="ListBullet"/>
        <w:ind w:left="360" w:hanging="360"/>
      </w:pPr>
      <w:r>
        <w:rPr>
          <w:rFonts w:ascii="Calibri" w:hAnsi="Calibri"/>
          <w:color w:val="525866"/>
          <w:sz w:val="22"/>
        </w:rPr>
        <w:t xml:space="preserve">RPM guided fiscal Q1 2027 (June–August 2026) consolidated sales to grow "in the mid-single-digit range" and consolidated adjusted EBITDA to grow "in the mid-single-digit range." Full-year fiscal 2027 sales guided to +3–7% and EBITDA +5–10%. </w:t>
      </w:r>
      <w:r>
        <w:rPr>
          <w:rFonts w:ascii="Calibri" w:hAnsi="Calibri"/>
          <w:i/>
          <w:color w:val="525866"/>
          <w:sz w:val="22"/>
        </w:rPr>
        <w:t xml:space="preserve">PPG read-through: </w:t>
      </w:r>
      <w:r>
        <w:rPr>
          <w:rFonts w:ascii="Calibri" w:hAnsi="Calibri"/>
          <w:i/>
          <w:color w:val="525866"/>
          <w:sz w:val="22"/>
        </w:rPr>
        <w:t>RPM's constructive forward outlook for the June–August period (which overlaps with PPG's Q3 2026) is a positive read-through for PPG's H2 2026 recovery thesis, particularly for industrial and construction-adjacent end markets.</w:t>
      </w:r>
    </w:p>
    <w:p>
      <w:pPr>
        <w:pStyle w:val="Heading3"/>
      </w:pPr>
      <w:r>
        <w:rPr>
          <w:rFonts w:ascii="Calibri" w:hAnsi="Calibri"/>
          <w:b/>
          <w:color w:val="3B4259"/>
          <w:sz w:val="24"/>
        </w:rPr>
        <w:t>2. Eastman Chemical (EMN) — Deutsche Bank Basic Materials Conference, June 3, 2026</w:t>
      </w:r>
    </w:p>
    <w:p>
      <w:r>
        <w:rPr>
          <w:rFonts w:ascii="Calibri" w:hAnsi="Calibri"/>
          <w:b/>
          <w:color w:val="525866"/>
          <w:sz w:val="22"/>
        </w:rPr>
        <w:t xml:space="preserve">Relevance: </w:t>
      </w:r>
      <w:r>
        <w:rPr>
          <w:rFonts w:ascii="Calibri" w:hAnsi="Calibri"/>
          <w:color w:val="525866"/>
          <w:sz w:val="22"/>
        </w:rPr>
        <w:t>Eastman CEO Mark Costa provided commentary on current Q2 2026 demand conditions (April–June 2026) across automotive, building construction, and consumer durables end markets — all key PPG end markets. Commentary was given on June 3, 2026, mid-quarter.</w:t>
      </w:r>
    </w:p>
    <w:p>
      <w:r>
        <w:rPr>
          <w:rFonts w:ascii="Calibri" w:hAnsi="Calibri"/>
          <w:b/>
          <w:color w:val="525866"/>
          <w:sz w:val="22"/>
        </w:rPr>
        <w:t xml:space="preserve">Limitations: </w:t>
      </w:r>
      <w:r>
        <w:rPr>
          <w:rFonts w:ascii="Calibri" w:hAnsi="Calibri"/>
          <w:color w:val="525866"/>
          <w:sz w:val="22"/>
        </w:rPr>
        <w:t>Eastman is a specialty chemical company (not a coatings company); its product portfolio (Advanced Materials, Adhesives/Fibers/Plastics, Chemical Intermediates) is distinct from PPG's coatings focus. Eastman's North American asset-heavy manufacturing base may give it different cost dynamics than PPG's more globally distributed operations. Eastman's fibers/tow business has no PPG read-through.</w:t>
      </w:r>
    </w:p>
    <w:p>
      <w:pPr>
        <w:pStyle w:val="Heading4"/>
      </w:pPr>
      <w:r>
        <w:rPr>
          <w:rFonts w:ascii="Calibri" w:hAnsi="Calibri"/>
          <w:b/>
          <w:color w:val="3B4259"/>
          <w:sz w:val="22"/>
        </w:rPr>
        <w:t>Eastman Read-Through: End-Market Demand (Q2 2026, as of June 3)</w:t>
      </w:r>
    </w:p>
    <w:p>
      <w:pPr>
        <w:pStyle w:val="ListBullet"/>
        <w:ind w:left="360" w:hanging="360"/>
      </w:pPr>
      <w:r>
        <w:rPr>
          <w:rFonts w:ascii="Calibri" w:hAnsi="Calibri"/>
          <w:b/>
          <w:color w:val="525866"/>
          <w:sz w:val="22"/>
        </w:rPr>
        <w:t xml:space="preserve">Overall Demand Holding Up (Positive Read-Through): </w:t>
      </w:r>
      <w:r>
        <w:rPr>
          <w:rFonts w:ascii="Calibri" w:hAnsi="Calibri"/>
          <w:color w:val="525866"/>
          <w:sz w:val="22"/>
        </w:rPr>
        <w:t xml:space="preserve">Eastman CEO stated: "right now, we're seeing demand hold up well in this quarter across the portfolio" and "we're not seeing any signs yet of demand destruction associated with what's going on with the Gulf and the impact it's having on prices." The American Chemistry Council annual meeting consensus was: "demand is holding up. We're not seeing any signs of demand destruction." </w:t>
      </w:r>
      <w:r>
        <w:rPr>
          <w:rFonts w:ascii="Calibri" w:hAnsi="Calibri"/>
          <w:i/>
          <w:color w:val="525866"/>
          <w:sz w:val="22"/>
        </w:rPr>
        <w:t xml:space="preserve">PPG read-through: </w:t>
      </w:r>
      <w:r>
        <w:rPr>
          <w:rFonts w:ascii="Calibri" w:hAnsi="Calibri"/>
          <w:i/>
          <w:color w:val="525866"/>
          <w:sz w:val="22"/>
        </w:rPr>
        <w:t>Positive signal that Q2 2026 demand has not deteriorated despite geopolitical and inflationary headwinds. Reduces the risk of a demand-driven revenue miss for PPG.</w:t>
      </w:r>
    </w:p>
    <w:p>
      <w:pPr>
        <w:pStyle w:val="ListBullet"/>
        <w:ind w:left="360" w:hanging="360"/>
      </w:pPr>
      <w:r>
        <w:rPr>
          <w:rFonts w:ascii="Calibri" w:hAnsi="Calibri"/>
          <w:b/>
          <w:color w:val="525866"/>
          <w:sz w:val="22"/>
        </w:rPr>
        <w:t xml:space="preserve">Automotive Market Softer (Negative Read-Through): </w:t>
      </w:r>
      <w:r>
        <w:rPr>
          <w:rFonts w:ascii="Calibri" w:hAnsi="Calibri"/>
          <w:color w:val="525866"/>
          <w:sz w:val="22"/>
        </w:rPr>
        <w:t xml:space="preserve">Eastman noted the auto market is "a bit softer this year" with the global market expected to be "off low single digits" — described as "not a significant change, but it is going to be a bit weaker this year from what people thought in January." </w:t>
      </w:r>
      <w:r>
        <w:rPr>
          <w:rFonts w:ascii="Calibri" w:hAnsi="Calibri"/>
          <w:i/>
          <w:color w:val="525866"/>
          <w:sz w:val="22"/>
        </w:rPr>
        <w:t xml:space="preserve">PPG read-through: </w:t>
      </w:r>
      <w:r>
        <w:rPr>
          <w:rFonts w:ascii="Calibri" w:hAnsi="Calibri"/>
          <w:i/>
          <w:color w:val="525866"/>
          <w:sz w:val="22"/>
        </w:rPr>
        <w:t>Consistent with PPG's own guidance that automotive OEM coatings organic sales declined low-single-digit in Q1 2026. Confirms that global auto production headwinds (particularly China comparisons) remain a modest drag on PPG's Industrial Coatings segment in Q2.</w:t>
      </w:r>
    </w:p>
    <w:p>
      <w:pPr>
        <w:pStyle w:val="ListBullet"/>
        <w:ind w:left="360" w:hanging="360"/>
      </w:pPr>
      <w:r>
        <w:rPr>
          <w:rFonts w:ascii="Calibri" w:hAnsi="Calibri"/>
          <w:b/>
          <w:color w:val="525866"/>
          <w:sz w:val="22"/>
        </w:rPr>
        <w:t xml:space="preserve">Building Construction Flat / Stable (Neutral Read-Through): </w:t>
      </w:r>
      <w:r>
        <w:rPr>
          <w:rFonts w:ascii="Calibri" w:hAnsi="Calibri"/>
          <w:color w:val="525866"/>
          <w:sz w:val="22"/>
        </w:rPr>
        <w:t xml:space="preserve">Eastman expects building construction "to be similar to last year," noting housing is "20% lower than 2019" in both the U.S. and Europe, with China a "total disaster." However, "it's just not getting worse." Interest rate cuts needed to unlock pent-up demand are "not probably going to get unlocked this year." </w:t>
      </w:r>
      <w:r>
        <w:rPr>
          <w:rFonts w:ascii="Calibri" w:hAnsi="Calibri"/>
          <w:i/>
          <w:color w:val="525866"/>
          <w:sz w:val="22"/>
        </w:rPr>
        <w:t xml:space="preserve">PPG read-through: </w:t>
      </w:r>
      <w:r>
        <w:rPr>
          <w:rFonts w:ascii="Calibri" w:hAnsi="Calibri"/>
          <w:i/>
          <w:color w:val="525866"/>
          <w:sz w:val="22"/>
        </w:rPr>
        <w:t>Consistent with PPG's cautious tone on European architectural coatings. Confirms that architectural coatings demand recovery is a 2027+ story absent rate cuts. Latin America (Mexico) remains PPG's bright spot, not captured in Eastman's commentary.</w:t>
      </w:r>
    </w:p>
    <w:p>
      <w:pPr>
        <w:pStyle w:val="ListBullet"/>
        <w:ind w:left="360" w:hanging="360"/>
      </w:pPr>
      <w:r>
        <w:rPr>
          <w:rFonts w:ascii="Calibri" w:hAnsi="Calibri"/>
          <w:b/>
          <w:color w:val="525866"/>
          <w:sz w:val="22"/>
        </w:rPr>
        <w:t xml:space="preserve">Consumer Durables Slightly Better (Mild Positive): </w:t>
      </w:r>
      <w:r>
        <w:rPr>
          <w:rFonts w:ascii="Calibri" w:hAnsi="Calibri"/>
          <w:color w:val="525866"/>
          <w:sz w:val="22"/>
        </w:rPr>
        <w:t xml:space="preserve">Eastman noted consumer durables demand is "a little bit better than last year, but similar." Overall consumer discretionary is "sort of stable." </w:t>
      </w:r>
      <w:r>
        <w:rPr>
          <w:rFonts w:ascii="Calibri" w:hAnsi="Calibri"/>
          <w:i/>
          <w:color w:val="525866"/>
          <w:sz w:val="22"/>
        </w:rPr>
        <w:t xml:space="preserve">PPG read-through: </w:t>
      </w:r>
      <w:r>
        <w:rPr>
          <w:rFonts w:ascii="Calibri" w:hAnsi="Calibri"/>
          <w:i/>
          <w:color w:val="525866"/>
          <w:sz w:val="22"/>
        </w:rPr>
        <w:t>Mild positive for PPG's industrial coatings serving appliances and consumer products.</w:t>
      </w:r>
    </w:p>
    <w:p>
      <w:pPr>
        <w:pStyle w:val="ListBullet"/>
        <w:ind w:left="360" w:hanging="360"/>
      </w:pPr>
      <w:r>
        <w:rPr>
          <w:rFonts w:ascii="Calibri" w:hAnsi="Calibri"/>
          <w:b/>
          <w:color w:val="525866"/>
          <w:sz w:val="22"/>
        </w:rPr>
        <w:t xml:space="preserve">Demand Visibility Solid Through July (Positive Read-Through): </w:t>
      </w:r>
      <w:r>
        <w:rPr>
          <w:rFonts w:ascii="Calibri" w:hAnsi="Calibri"/>
          <w:color w:val="525866"/>
          <w:sz w:val="22"/>
        </w:rPr>
        <w:t xml:space="preserve">Eastman's Advanced Materials order books were "solid through July right now, which is good and not typical." Eastman noted stock-outs in some areas as of end of March and was "still running hard just to keep up with demand." </w:t>
      </w:r>
      <w:r>
        <w:rPr>
          <w:rFonts w:ascii="Calibri" w:hAnsi="Calibri"/>
          <w:i/>
          <w:color w:val="525866"/>
          <w:sz w:val="22"/>
        </w:rPr>
        <w:t xml:space="preserve">PPG read-through: </w:t>
      </w:r>
      <w:r>
        <w:rPr>
          <w:rFonts w:ascii="Calibri" w:hAnsi="Calibri"/>
          <w:i/>
          <w:color w:val="525866"/>
          <w:sz w:val="22"/>
        </w:rPr>
        <w:t>Positive signal for near-term demand visibility; suggests Q2 demand did not fall off a cliff despite macro uncertainty.</w:t>
      </w:r>
    </w:p>
    <w:p>
      <w:pPr>
        <w:pStyle w:val="Heading4"/>
      </w:pPr>
      <w:r>
        <w:rPr>
          <w:rFonts w:ascii="Calibri" w:hAnsi="Calibri"/>
          <w:b/>
          <w:color w:val="3B4259"/>
          <w:sz w:val="22"/>
        </w:rPr>
        <w:t>Eastman Read-Through: Raw Materials &amp; Pricing (Q2 2026)</w:t>
      </w:r>
    </w:p>
    <w:p>
      <w:pPr>
        <w:pStyle w:val="ListBullet"/>
        <w:ind w:left="360" w:hanging="360"/>
      </w:pPr>
      <w:r>
        <w:rPr>
          <w:rFonts w:ascii="Calibri" w:hAnsi="Calibri"/>
          <w:b/>
          <w:color w:val="525866"/>
          <w:sz w:val="22"/>
        </w:rPr>
        <w:t xml:space="preserve">Raw Material Supply Constraints Structural (Cautionary): </w:t>
      </w:r>
      <w:r>
        <w:rPr>
          <w:rFonts w:ascii="Calibri" w:hAnsi="Calibri"/>
          <w:color w:val="525866"/>
          <w:sz w:val="22"/>
        </w:rPr>
        <w:t xml:space="preserve">Eastman flagged that naphtha and methanol — key petrochemical feedstocks — are "short" with 15–20% of global naphtha supply disrupted from the Gulf. Supply chains are expected to "be constrained" for "at least 6 to 9 months." Eastman characterized the situation as "structurally short for quite a long time." </w:t>
      </w:r>
      <w:r>
        <w:rPr>
          <w:rFonts w:ascii="Calibri" w:hAnsi="Calibri"/>
          <w:i/>
          <w:color w:val="525866"/>
          <w:sz w:val="22"/>
        </w:rPr>
        <w:t xml:space="preserve">PPG read-through: </w:t>
      </w:r>
      <w:r>
        <w:rPr>
          <w:rFonts w:ascii="Calibri" w:hAnsi="Calibri"/>
          <w:i/>
          <w:color w:val="525866"/>
          <w:sz w:val="22"/>
        </w:rPr>
        <w:t>Validates PPG's mid-single-digit COGS inflation guidance for the remainder of 2026. Suggests raw material headwinds are not a one-quarter phenomenon and supports PPG's proactive pricing strategy.</w:t>
      </w:r>
    </w:p>
    <w:p>
      <w:pPr>
        <w:pStyle w:val="ListBullet"/>
        <w:ind w:left="360" w:hanging="360"/>
      </w:pPr>
      <w:r>
        <w:rPr>
          <w:rFonts w:ascii="Calibri" w:hAnsi="Calibri"/>
          <w:b/>
          <w:color w:val="525866"/>
          <w:sz w:val="22"/>
        </w:rPr>
        <w:t xml:space="preserve">Pricing Actions Implemented and Holding (Positive Read-Through): </w:t>
      </w:r>
      <w:r>
        <w:rPr>
          <w:rFonts w:ascii="Calibri" w:hAnsi="Calibri"/>
          <w:color w:val="525866"/>
          <w:sz w:val="22"/>
        </w:rPr>
        <w:t xml:space="preserve">Eastman stated: "You've got the benefits of price increases we put in place. We've got them all in place as we said we would do. I'm feeling confident about that." Cost pass-through contracts are "working as it should to keep up with raw materials, energy distribution costs." </w:t>
      </w:r>
      <w:r>
        <w:rPr>
          <w:rFonts w:ascii="Calibri" w:hAnsi="Calibri"/>
          <w:i/>
          <w:color w:val="525866"/>
          <w:sz w:val="22"/>
        </w:rPr>
        <w:t xml:space="preserve">PPG read-through: </w:t>
      </w:r>
      <w:r>
        <w:rPr>
          <w:rFonts w:ascii="Calibri" w:hAnsi="Calibri"/>
          <w:i/>
          <w:color w:val="525866"/>
          <w:sz w:val="22"/>
        </w:rPr>
        <w:t>Industry-wide pricing discipline is intact. Validates PPG's confidence in its ability to realize price increases faster than prior cycles.</w:t>
      </w:r>
    </w:p>
    <w:p>
      <w:pPr>
        <w:pStyle w:val="ListBullet"/>
        <w:ind w:left="360" w:hanging="360"/>
      </w:pPr>
      <w:r>
        <w:rPr>
          <w:rFonts w:ascii="Calibri" w:hAnsi="Calibri"/>
          <w:b/>
          <w:color w:val="525866"/>
          <w:sz w:val="22"/>
        </w:rPr>
        <w:t xml:space="preserve">Inflation Concern for H2 2026 (Cautionary): </w:t>
      </w:r>
      <w:r>
        <w:rPr>
          <w:rFonts w:ascii="Calibri" w:hAnsi="Calibri"/>
          <w:color w:val="525866"/>
          <w:sz w:val="22"/>
        </w:rPr>
        <w:t xml:space="preserve">Eastman noted: "Everyone is worried about inflation impact on consumer demand in the back half of the year is only rational." </w:t>
      </w:r>
      <w:r>
        <w:rPr>
          <w:rFonts w:ascii="Calibri" w:hAnsi="Calibri"/>
          <w:i/>
          <w:color w:val="525866"/>
          <w:sz w:val="22"/>
        </w:rPr>
        <w:t xml:space="preserve">PPG read-through: </w:t>
      </w:r>
      <w:r>
        <w:rPr>
          <w:rFonts w:ascii="Calibri" w:hAnsi="Calibri"/>
          <w:i/>
          <w:color w:val="525866"/>
          <w:sz w:val="22"/>
        </w:rPr>
        <w:t>Confirms that the key risk for PPG's H2 2026 recovery thesis is whether raw material inflation erodes consumer purchasing power and dampens end-market demand before pricing realization is complete.</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RPM (Jul 22, 2026)</w:t>
            </w:r>
          </w:p>
        </w:tc>
        <w:tc>
          <w:tcPr>
            <w:tcW w:type="dxa" w:w="2160"/>
            <w:shd w:val="clear" w:color="auto" w:fill="3B4259"/>
          </w:tcPr>
          <w:p>
            <w:r>
              <w:rPr>
                <w:rFonts w:ascii="Calibri" w:hAnsi="Calibri"/>
                <w:b/>
                <w:color w:val="FFFFFF"/>
                <w:sz w:val="22"/>
              </w:rPr>
              <w:t>Eastman (Jun 3, 2026)</w:t>
            </w:r>
          </w:p>
        </w:tc>
        <w:tc>
          <w:tcPr>
            <w:tcW w:type="dxa" w:w="2160"/>
            <w:shd w:val="clear" w:color="auto" w:fill="3B4259"/>
          </w:tcPr>
          <w:p>
            <w:r>
              <w:rPr>
                <w:rFonts w:ascii="Calibri" w:hAnsi="Calibri"/>
                <w:b/>
                <w:color w:val="FFFFFF"/>
                <w:sz w:val="22"/>
              </w:rPr>
              <w:t>Net Read-Through for PPG Q2</w:t>
            </w:r>
          </w:p>
        </w:tc>
      </w:tr>
      <w:tr>
        <w:tc>
          <w:tcPr>
            <w:tcW w:type="dxa" w:w="2160"/>
          </w:tcPr>
          <w:p>
            <w:r>
              <w:rPr>
                <w:rFonts w:ascii="Calibri" w:hAnsi="Calibri"/>
                <w:sz w:val="22"/>
              </w:rPr>
              <w:t>Overall Demand</w:t>
            </w:r>
          </w:p>
        </w:tc>
        <w:tc>
          <w:tcPr>
            <w:tcW w:type="dxa" w:w="2160"/>
          </w:tcPr>
          <w:p>
            <w:r>
              <w:rPr>
                <w:rFonts w:ascii="Calibri" w:hAnsi="Calibri"/>
                <w:sz w:val="22"/>
              </w:rPr>
              <w:t>Strong in construction/industrial; soft in consumer DIY</w:t>
            </w:r>
          </w:p>
        </w:tc>
        <w:tc>
          <w:tcPr>
            <w:tcW w:type="dxa" w:w="2160"/>
          </w:tcPr>
          <w:p>
            <w:r>
              <w:rPr>
                <w:rFonts w:ascii="Calibri" w:hAnsi="Calibri"/>
                <w:sz w:val="22"/>
              </w:rPr>
              <w:t>Holding up; no demand destruction from Gulf conflict</w:t>
            </w:r>
          </w:p>
        </w:tc>
        <w:tc>
          <w:tcPr>
            <w:tcW w:type="dxa" w:w="2160"/>
          </w:tcPr>
          <w:p>
            <w:r>
              <w:rPr>
                <w:rFonts w:ascii="Calibri" w:hAnsi="Calibri"/>
                <w:b/>
                <w:color w:val="30A46C"/>
                <w:sz w:val="22"/>
              </w:rPr>
              <w:t>Positive</w:t>
            </w:r>
          </w:p>
        </w:tc>
      </w:tr>
      <w:tr>
        <w:tc>
          <w:tcPr>
            <w:tcW w:type="dxa" w:w="2160"/>
          </w:tcPr>
          <w:p>
            <w:r>
              <w:rPr>
                <w:rFonts w:ascii="Calibri" w:hAnsi="Calibri"/>
                <w:sz w:val="22"/>
              </w:rPr>
              <w:t>Automotive</w:t>
            </w:r>
          </w:p>
        </w:tc>
        <w:tc>
          <w:tcPr>
            <w:tcW w:type="dxa" w:w="2160"/>
          </w:tcPr>
          <w:p>
            <w:r>
              <w:rPr>
                <w:rFonts w:ascii="Calibri" w:hAnsi="Calibri"/>
                <w:sz w:val="22"/>
              </w:rPr>
              <w:t>Not directly commented</w:t>
            </w:r>
          </w:p>
        </w:tc>
        <w:tc>
          <w:tcPr>
            <w:tcW w:type="dxa" w:w="2160"/>
          </w:tcPr>
          <w:p>
            <w:r>
              <w:rPr>
                <w:rFonts w:ascii="Calibri" w:hAnsi="Calibri"/>
                <w:sz w:val="22"/>
              </w:rPr>
              <w:t>Global auto market off low-single-digits; softer than Jan expectations</w:t>
            </w:r>
          </w:p>
        </w:tc>
        <w:tc>
          <w:tcPr>
            <w:tcW w:type="dxa" w:w="2160"/>
          </w:tcPr>
          <w:p>
            <w:r>
              <w:rPr>
                <w:rFonts w:ascii="Calibri" w:hAnsi="Calibri"/>
                <w:b/>
                <w:color w:val="E5484D"/>
                <w:sz w:val="22"/>
              </w:rPr>
              <w:t>Mildly Negative</w:t>
            </w:r>
          </w:p>
        </w:tc>
      </w:tr>
      <w:tr>
        <w:tc>
          <w:tcPr>
            <w:tcW w:type="dxa" w:w="2160"/>
          </w:tcPr>
          <w:p>
            <w:r>
              <w:rPr>
                <w:rFonts w:ascii="Calibri" w:hAnsi="Calibri"/>
                <w:sz w:val="22"/>
              </w:rPr>
              <w:t>Construction / Architectural</w:t>
            </w:r>
          </w:p>
        </w:tc>
        <w:tc>
          <w:tcPr>
            <w:tcW w:type="dxa" w:w="2160"/>
          </w:tcPr>
          <w:p>
            <w:r>
              <w:rPr>
                <w:rFonts w:ascii="Calibri" w:hAnsi="Calibri"/>
                <w:sz w:val="22"/>
              </w:rPr>
              <w:t>Infrastructure/data centers strong; commercial construction weak</w:t>
            </w:r>
          </w:p>
        </w:tc>
        <w:tc>
          <w:tcPr>
            <w:tcW w:type="dxa" w:w="2160"/>
          </w:tcPr>
          <w:p>
            <w:r>
              <w:rPr>
                <w:rFonts w:ascii="Calibri" w:hAnsi="Calibri"/>
                <w:sz w:val="22"/>
              </w:rPr>
              <w:t>Building construction similar to last year; housing 20% below 2019</w:t>
            </w:r>
          </w:p>
        </w:tc>
        <w:tc>
          <w:tcPr>
            <w:tcW w:type="dxa" w:w="2160"/>
          </w:tcPr>
          <w:p>
            <w:r>
              <w:rPr>
                <w:rFonts w:ascii="Calibri" w:hAnsi="Calibri"/>
                <w:sz w:val="22"/>
              </w:rPr>
              <w:t>Neutral (consistent with PPG guidance)</w:t>
            </w:r>
          </w:p>
        </w:tc>
      </w:tr>
      <w:tr>
        <w:tc>
          <w:tcPr>
            <w:tcW w:type="dxa" w:w="2160"/>
          </w:tcPr>
          <w:p>
            <w:r>
              <w:rPr>
                <w:rFonts w:ascii="Calibri" w:hAnsi="Calibri"/>
                <w:sz w:val="22"/>
              </w:rPr>
              <w:t>Consumer / DIY</w:t>
            </w:r>
          </w:p>
        </w:tc>
        <w:tc>
          <w:tcPr>
            <w:tcW w:type="dxa" w:w="2160"/>
          </w:tcPr>
          <w:p>
            <w:r>
              <w:rPr>
                <w:rFonts w:ascii="Calibri" w:hAnsi="Calibri"/>
                <w:sz w:val="22"/>
              </w:rPr>
              <w:t>Soft but stabilizing; "hitting bottom"</w:t>
            </w:r>
          </w:p>
        </w:tc>
        <w:tc>
          <w:tcPr>
            <w:tcW w:type="dxa" w:w="2160"/>
          </w:tcPr>
          <w:p>
            <w:r>
              <w:rPr>
                <w:rFonts w:ascii="Calibri" w:hAnsi="Calibri"/>
                <w:sz w:val="22"/>
              </w:rPr>
              <w:t>Consumer durables slightly better YoY; stable</w:t>
            </w:r>
          </w:p>
        </w:tc>
        <w:tc>
          <w:tcPr>
            <w:tcW w:type="dxa" w:w="2160"/>
          </w:tcPr>
          <w:p>
            <w:r>
              <w:rPr>
                <w:rFonts w:ascii="Calibri" w:hAnsi="Calibri"/>
                <w:sz w:val="22"/>
              </w:rPr>
              <w:t>Neutral to Mildly Positive</w:t>
            </w:r>
          </w:p>
        </w:tc>
      </w:tr>
      <w:tr>
        <w:tc>
          <w:tcPr>
            <w:tcW w:type="dxa" w:w="2160"/>
          </w:tcPr>
          <w:p>
            <w:r>
              <w:rPr>
                <w:rFonts w:ascii="Calibri" w:hAnsi="Calibri"/>
                <w:sz w:val="22"/>
              </w:rPr>
              <w:t>Raw Material Inflation</w:t>
            </w:r>
          </w:p>
        </w:tc>
        <w:tc>
          <w:tcPr>
            <w:tcW w:type="dxa" w:w="2160"/>
          </w:tcPr>
          <w:p>
            <w:r>
              <w:rPr>
                <w:rFonts w:ascii="Calibri" w:hAnsi="Calibri"/>
                <w:sz w:val="22"/>
              </w:rPr>
              <w:t>+5–6% in Jun–Aug 2026; +6–8% in Sep–Nov 2026; spot prices off peak</w:t>
            </w:r>
          </w:p>
        </w:tc>
        <w:tc>
          <w:tcPr>
            <w:tcW w:type="dxa" w:w="2160"/>
          </w:tcPr>
          <w:p>
            <w:r>
              <w:rPr>
                <w:rFonts w:ascii="Calibri" w:hAnsi="Calibri"/>
                <w:sz w:val="22"/>
              </w:rPr>
              <w:t>Naphtha/methanol structurally short; 6–9 months to stabilize</w:t>
            </w:r>
          </w:p>
        </w:tc>
        <w:tc>
          <w:tcPr>
            <w:tcW w:type="dxa" w:w="2160"/>
          </w:tcPr>
          <w:p>
            <w:r>
              <w:rPr>
                <w:rFonts w:ascii="Calibri" w:hAnsi="Calibri"/>
                <w:b/>
                <w:color w:val="E5484D"/>
                <w:sz w:val="22"/>
              </w:rPr>
              <w:t>Cautionary (validates PPG's mid-single-digit COGS guide)</w:t>
            </w:r>
          </w:p>
        </w:tc>
      </w:tr>
      <w:tr>
        <w:tc>
          <w:tcPr>
            <w:tcW w:type="dxa" w:w="2160"/>
          </w:tcPr>
          <w:p>
            <w:r>
              <w:rPr>
                <w:rFonts w:ascii="Calibri" w:hAnsi="Calibri"/>
                <w:sz w:val="22"/>
              </w:rPr>
              <w:t>Pricing Power</w:t>
            </w:r>
          </w:p>
        </w:tc>
        <w:tc>
          <w:tcPr>
            <w:tcW w:type="dxa" w:w="2160"/>
          </w:tcPr>
          <w:p>
            <w:r>
              <w:rPr>
                <w:rFonts w:ascii="Calibri" w:hAnsi="Calibri"/>
                <w:sz w:val="22"/>
              </w:rPr>
              <w:t>Price increases implemented; retaining 100% of price; more increases coming</w:t>
            </w:r>
          </w:p>
        </w:tc>
        <w:tc>
          <w:tcPr>
            <w:tcW w:type="dxa" w:w="2160"/>
          </w:tcPr>
          <w:p>
            <w:r>
              <w:rPr>
                <w:rFonts w:ascii="Calibri" w:hAnsi="Calibri"/>
                <w:sz w:val="22"/>
              </w:rPr>
              <w:t>Price increases in place; cost pass-through contracts working</w:t>
            </w:r>
          </w:p>
        </w:tc>
        <w:tc>
          <w:tcPr>
            <w:tcW w:type="dxa" w:w="2160"/>
          </w:tcPr>
          <w:p>
            <w:r>
              <w:rPr>
                <w:rFonts w:ascii="Calibri" w:hAnsi="Calibri"/>
                <w:b/>
                <w:color w:val="30A46C"/>
                <w:sz w:val="22"/>
              </w:rPr>
              <w:t>Positive (industry pricing discipline intact)</w:t>
            </w:r>
          </w:p>
        </w:tc>
      </w:tr>
      <w:tr>
        <w:tc>
          <w:tcPr>
            <w:tcW w:type="dxa" w:w="2160"/>
          </w:tcPr>
          <w:p>
            <w:r>
              <w:rPr>
                <w:rFonts w:ascii="Calibri" w:hAnsi="Calibri"/>
                <w:sz w:val="22"/>
              </w:rPr>
              <w:t>Price/Cost Timing</w:t>
            </w:r>
          </w:p>
        </w:tc>
        <w:tc>
          <w:tcPr>
            <w:tcW w:type="dxa" w:w="2160"/>
          </w:tcPr>
          <w:p>
            <w:r>
              <w:rPr>
                <w:rFonts w:ascii="Calibri" w:hAnsi="Calibri"/>
                <w:sz w:val="22"/>
              </w:rPr>
              <w:t>Price/cost negative in H1 fiscal 2027 (Jun–Nov 2026); neutral in H2</w:t>
            </w:r>
          </w:p>
        </w:tc>
        <w:tc>
          <w:tcPr>
            <w:tcW w:type="dxa" w:w="2160"/>
          </w:tcPr>
          <w:p>
            <w:r>
              <w:rPr>
                <w:rFonts w:ascii="Calibri" w:hAnsi="Calibri"/>
                <w:sz w:val="22"/>
              </w:rPr>
              <w:t>Not explicitly guided</w:t>
            </w:r>
          </w:p>
        </w:tc>
        <w:tc>
          <w:tcPr>
            <w:tcW w:type="dxa" w:w="2160"/>
          </w:tcPr>
          <w:p>
            <w:r>
              <w:rPr>
                <w:rFonts w:ascii="Calibri" w:hAnsi="Calibri"/>
                <w:b/>
                <w:color w:val="E5484D"/>
                <w:sz w:val="22"/>
              </w:rPr>
              <w:t>Cautionary for Q2 margins; neutral-to-positive for H2</w:t>
            </w:r>
          </w:p>
        </w:tc>
      </w:tr>
      <w:tr>
        <w:tc>
          <w:tcPr>
            <w:tcW w:type="dxa" w:w="2160"/>
          </w:tcPr>
          <w:p>
            <w:r>
              <w:rPr>
                <w:rFonts w:ascii="Calibri" w:hAnsi="Calibri"/>
                <w:sz w:val="22"/>
              </w:rPr>
              <w:t>Forward Outlook</w:t>
            </w:r>
          </w:p>
        </w:tc>
        <w:tc>
          <w:tcPr>
            <w:tcW w:type="dxa" w:w="2160"/>
          </w:tcPr>
          <w:p>
            <w:r>
              <w:rPr>
                <w:rFonts w:ascii="Calibri" w:hAnsi="Calibri"/>
                <w:sz w:val="22"/>
              </w:rPr>
              <w:t>Mid-single-digit sales and EBITDA growth in Jun–Aug 2026; FY +3–7% sales</w:t>
            </w:r>
          </w:p>
        </w:tc>
        <w:tc>
          <w:tcPr>
            <w:tcW w:type="dxa" w:w="2160"/>
          </w:tcPr>
          <w:p>
            <w:r>
              <w:rPr>
                <w:rFonts w:ascii="Calibri" w:hAnsi="Calibri"/>
                <w:sz w:val="22"/>
              </w:rPr>
              <w:t>Demand on track; order books solid through July</w:t>
            </w:r>
          </w:p>
        </w:tc>
        <w:tc>
          <w:tcPr>
            <w:tcW w:type="dxa" w:w="2160"/>
          </w:tcPr>
          <w:p>
            <w:r>
              <w:rPr>
                <w:rFonts w:ascii="Calibri" w:hAnsi="Calibri"/>
                <w:b/>
                <w:color w:val="30A46C"/>
                <w:sz w:val="22"/>
              </w:rPr>
              <w:t>Positive for PPG H2 2026 recovery thesis</w:t>
            </w:r>
          </w:p>
        </w:tc>
      </w:tr>
    </w:tbl>
    <w:p>
      <w:r>
        <w:rPr>
          <w:rFonts w:ascii="Calibri" w:hAnsi="Calibri"/>
          <w:i/>
          <w:color w:val="525866"/>
          <w:sz w:val="22"/>
        </w:rPr>
        <w:t>Sources: RPM International Q4 FY2026 Earnings Call Transcript and Earnings Release (July 22, 2026); Eastman Chemical Deutsche Bank Basic Materials Conference Transcript (June 3, 2026). Peer commentary filtered to include only statements about the April–June 2026 calendar quarter trading environment or forward outlook relevant to PPG's current reporting period. Backward-looking commentary about prior-quarter results excluded.</w:t>
      </w:r>
    </w:p>
    <w:p>
      <w:pPr>
        <w:pStyle w:val="Heading3"/>
      </w:pPr>
      <w:r>
        <w:rPr>
          <w:rFonts w:ascii="Calibri" w:hAnsi="Calibri"/>
          <w:b/>
          <w:color w:val="3B4259"/>
          <w:sz w:val="24"/>
        </w:rPr>
        <w:t>Excluded Peers &amp; Rationale</w:t>
      </w:r>
    </w:p>
    <w:p>
      <w:pPr>
        <w:pStyle w:val="ListBullet"/>
        <w:ind w:left="360" w:hanging="360"/>
      </w:pPr>
      <w:r>
        <w:rPr>
          <w:rFonts w:ascii="Calibri" w:hAnsi="Calibri"/>
          <w:b/>
          <w:color w:val="525866"/>
          <w:sz w:val="22"/>
        </w:rPr>
        <w:t xml:space="preserve">Sherwin-Williams (SHW): </w:t>
      </w:r>
      <w:r>
        <w:rPr>
          <w:rFonts w:ascii="Calibri" w:hAnsi="Calibri"/>
          <w:color w:val="525866"/>
          <w:sz w:val="22"/>
        </w:rPr>
        <w:t>Reports Q2 2026 results on July 28, 2026 (same day as PPG). No pre-release commentary or guidance update was available in the research window. SHW would be the highest-quality read-through given its direct overlap in architectural coatings.</w:t>
      </w:r>
    </w:p>
    <w:p>
      <w:pPr>
        <w:pStyle w:val="ListBullet"/>
        <w:ind w:left="360" w:hanging="360"/>
      </w:pPr>
      <w:r>
        <w:rPr>
          <w:rFonts w:ascii="Calibri" w:hAnsi="Calibri"/>
          <w:b/>
          <w:color w:val="525866"/>
          <w:sz w:val="22"/>
        </w:rPr>
        <w:t xml:space="preserve">Axalta Coating Systems (AXTA): </w:t>
      </w:r>
      <w:r>
        <w:rPr>
          <w:rFonts w:ascii="Calibri" w:hAnsi="Calibri"/>
          <w:color w:val="525866"/>
          <w:sz w:val="22"/>
        </w:rPr>
        <w:t>Recent news (July 23, 2026) relates to the AkzoNobel merger amendment — a corporate event, not a Q2 2026 trading environment commentary. No Q2 2026 earnings call transcript was available. AXTA's Q2 2026 earnings are scheduled separately.</w:t>
      </w:r>
    </w:p>
    <w:p>
      <w:pPr>
        <w:pStyle w:val="ListBullet"/>
        <w:ind w:left="360" w:hanging="360"/>
      </w:pPr>
      <w:r>
        <w:rPr>
          <w:rFonts w:ascii="Calibri" w:hAnsi="Calibri"/>
          <w:b/>
          <w:color w:val="525866"/>
          <w:sz w:val="22"/>
        </w:rPr>
        <w:t xml:space="preserve">Other Specialty Chemicals Peers (LIN, ECL, APD, IFF, LYB, DD, ALB, EMN Q2 earnings): </w:t>
      </w:r>
      <w:r>
        <w:rPr>
          <w:rFonts w:ascii="Calibri" w:hAnsi="Calibri"/>
          <w:color w:val="525866"/>
          <w:sz w:val="22"/>
        </w:rPr>
        <w:t>No qualifying Q2 2026 earnings transcripts or current-quarter conference commentary were available in the research database for these names within the 60-day window.</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