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PRU before writing the preview. Let me gather recent filings, transcripts, news, and price data.The "2026Q4" label appears to be a data quirk — the actual upcoming report is Q2 2026 (Q1 2026 was reported in May). There are two very important recent items: a July 15 preview 8-K and a Japan misconduct update. Let me read the key documents and pull price data.Let me get recent analyst/news context and check the reimbursement press release detail.I have enough to write a well-grounded preview. One note on timing: the ticker's July 15 8-K said the Q2 release is scheduled for August 4, while your calendar flags the call for July 29 (labeled "2026Q4," which appears to be a data quirk). Either way, this is the</w:t>
      </w:r>
      <w:r>
        <w:t xml:space="preserve"> </w:t>
      </w:r>
      <w:r>
        <w:rPr>
          <w:b/>
          <w:bCs/>
        </w:rPr>
        <w:t xml:space="preserve">Q2 2026</w:t>
      </w:r>
      <w:r>
        <w:t xml:space="preserve"> </w:t>
      </w:r>
      <w:r>
        <w:t xml:space="preserve">report, and management pre-committed to unveiling its long-term strategy on this call — making it an unusually high-stakes event. Here's the preview.</w:t>
      </w:r>
    </w:p>
    <w:p>
      <w:r>
        <w:pict>
          <v:rect style="width:0;height:1.5pt" o:hralign="center" o:hrstd="t" o:hr="t"/>
        </w:pict>
      </w:r>
    </w:p>
    <w:bookmarkStart w:id="16" w:name="X525ff0a83499326454f7341c59cc3c4ebe4b816"/>
    <w:p>
      <w:pPr>
        <w:pStyle w:val="Heading1"/>
      </w:pPr>
      <w:r>
        <w:t xml:space="preserve">Prudential Financial (PRU) — Q2 2026 Earnings Preview</w:t>
      </w:r>
    </w:p>
    <w:bookmarkStart w:id="9" w:name="Xfb94b2c1b4fbf5e7e38ab0cffea365b2b851fc8"/>
    <w:p>
      <w:pPr>
        <w:pStyle w:val="Heading2"/>
      </w:pPr>
      <w:r>
        <w:t xml:space="preserve">The setup: a strategy reveal, not just a print</w:t>
      </w:r>
    </w:p>
    <w:p>
      <w:pPr>
        <w:pStyle w:val="FirstParagraph"/>
      </w:pPr>
      <w:r>
        <w:t xml:space="preserve">This is not a routine quarter. On the Q1 call, CEO Andy Sullivan explicitly teed up this report as the moment Prudential lays out its refreshed long-term vision:</w:t>
      </w:r>
      <w:r>
        <w:t xml:space="preserve"> </w:t>
      </w:r>
      <w:r>
        <w:rPr>
          <w:i/>
          <w:iCs/>
        </w:rPr>
        <w:t xml:space="preserve">"We will share more details on Prudential's long-term vision and strategy on our second quarter call in August."</w:t>
      </w:r>
      <w:r>
        <w:t xml:space="preserve"> </w:t>
      </w:r>
      <w:r>
        <w:t xml:space="preserve">He was blunt that "the performance of the organization has not been good enough," attributing underperformance to "a lack of focus" and capital "spread too thinly" across too many subscale businesses. Investors should treat the strategic framework — capital reallocation, business-mix shift, and margin/ROE targets — as the single most important output of this event, arguably more market-moving than the quarter's EPS.</w:t>
      </w:r>
    </w:p>
    <w:p>
      <w:pPr>
        <w:pStyle w:val="BodyText"/>
      </w:pPr>
      <w:r>
        <w:t xml:space="preserve">Early portfolio actions already signal the direction: exits from PGIM operations in Taiwan and India and insurance businesses in Kenya and Indonesia, with capital redeployed toward Retirement and Asset Management. The open question (pressed by analysts last quarter) is whether Prudential is willing to do something</w:t>
      </w:r>
      <w:r>
        <w:t xml:space="preserve"> </w:t>
      </w:r>
      <w:r>
        <w:rPr>
          <w:b/>
          <w:bCs/>
        </w:rPr>
        <w:t xml:space="preserve">bigger</w:t>
      </w:r>
      <w:r>
        <w:t xml:space="preserve"> </w:t>
      </w:r>
      <w:r>
        <w:t xml:space="preserve">on business mix, or whether August is simply a guidance refresh. Manage expectations accordingly — a "tweaks only" outcome could disappoint after the buildup.</w:t>
      </w:r>
    </w:p>
    <w:bookmarkEnd w:id="9"/>
    <w:bookmarkStart w:id="10" w:name="stock-has-front-run-the-print"/>
    <w:p>
      <w:pPr>
        <w:pStyle w:val="Heading2"/>
      </w:pPr>
      <w:r>
        <w:t xml:space="preserve">Stock has front-run the print</w:t>
      </w:r>
    </w:p>
    <w:p>
      <w:pPr>
        <w:pStyle w:val="FirstParagraph"/>
      </w:pPr>
      <w:r>
        <w:t xml:space="preserve">PRU closed at **</w:t>
      </w:r>
      <m:oMath>
        <m:r>
          <m:t>123.96</m:t>
        </m:r>
        <m:r>
          <m:t>o</m:t>
        </m:r>
        <m:r>
          <m:t>n</m:t>
        </m:r>
        <m:r>
          <m:t>7</m:t>
        </m:r>
        <m:r>
          <m:rPr>
            <m:sty m:val="p"/>
          </m:rPr>
          <m:t>/</m:t>
        </m:r>
        <m:r>
          <m:t>28</m:t>
        </m:r>
        <m:r>
          <m:rPr>
            <m:sty m:val="p"/>
          </m:rPr>
          <m:t>*</m:t>
        </m:r>
        <m:r>
          <m:rPr>
            <m:sty m:val="p"/>
          </m:rPr>
          <m:t>*</m:t>
        </m:r>
        <m:r>
          <m:rPr>
            <m:sty m:val="p"/>
          </m:rPr>
          <m:t>,</m:t>
        </m:r>
        <m:r>
          <m:t>e</m:t>
        </m:r>
        <m:r>
          <m:t>s</m:t>
        </m:r>
        <m:r>
          <m:t>s</m:t>
        </m:r>
        <m:r>
          <m:t>e</m:t>
        </m:r>
        <m:r>
          <m:t>n</m:t>
        </m:r>
        <m:r>
          <m:t>t</m:t>
        </m:r>
        <m:r>
          <m:t>i</m:t>
        </m:r>
        <m:r>
          <m:t>a</m:t>
        </m:r>
        <m:r>
          <m:t>l</m:t>
        </m:r>
        <m:r>
          <m:t>l</m:t>
        </m:r>
        <m:r>
          <m:t>y</m:t>
        </m:r>
        <m:r>
          <m:t>a</m:t>
        </m:r>
        <m:r>
          <m:t>t</m:t>
        </m:r>
        <m:r>
          <m:t>i</m:t>
        </m:r>
        <m:r>
          <m:t>t</m:t>
        </m:r>
        <m:r>
          <m:t>s</m:t>
        </m:r>
        <m:r>
          <m:t>h</m:t>
        </m:r>
        <m:r>
          <m:t>i</m:t>
        </m:r>
        <m:r>
          <m:t>g</m:t>
        </m:r>
        <m:r>
          <m:t>h</m:t>
        </m:r>
        <m:r>
          <m:t>s</m:t>
        </m:r>
        <m:r>
          <m:t>f</m:t>
        </m:r>
        <m:r>
          <m:t>o</m:t>
        </m:r>
        <m:r>
          <m:t>r</m:t>
        </m:r>
        <m:r>
          <m:t>t</m:t>
        </m:r>
        <m:r>
          <m:t>h</m:t>
        </m:r>
        <m:r>
          <m:t>e</m:t>
        </m:r>
        <m:r>
          <m:t>y</m:t>
        </m:r>
        <m:r>
          <m:t>e</m:t>
        </m:r>
        <m:r>
          <m:t>a</m:t>
        </m:r>
        <m:r>
          <m:t>r</m:t>
        </m:r>
        <m:r>
          <m:t>a</m:t>
        </m:r>
        <m:r>
          <m:t>n</m:t>
        </m:r>
        <m:r>
          <m:t>d</m:t>
        </m:r>
        <m:r>
          <m:t>u</m:t>
        </m:r>
        <m:r>
          <m:t>p</m:t>
        </m:r>
        <m:r>
          <m:t>r</m:t>
        </m:r>
        <m:r>
          <m:t>o</m:t>
        </m:r>
        <m:r>
          <m:t>u</m:t>
        </m:r>
        <m:r>
          <m:t>g</m:t>
        </m:r>
        <m:r>
          <m:t>h</m:t>
        </m:r>
        <m:r>
          <m:t>l</m:t>
        </m:r>
        <m:r>
          <m:t>y</m:t>
        </m:r>
        <m:r>
          <m:t>8</m:t>
        </m:r>
      </m:oMath>
      <w:r>
        <w:t xml:space="preserve">114 in early January to a ~$92 low in mid-March, plus a sharp drop around the February Q4 report and the April 21 Japan update. The recovery leaves shares up ~9% YTD, broadly tracking peer MET's move. The takeaway:</w:t>
      </w:r>
      <w:r>
        <w:t xml:space="preserve"> </w:t>
      </w:r>
      <w:r>
        <w:rPr>
          <w:b/>
          <w:bCs/>
        </w:rPr>
        <w:t xml:space="preserve">the market is entering this report constructive/optimistic</w:t>
      </w:r>
      <w:r>
        <w:t xml:space="preserve">, which raises the bar for the strategy reveal to justify further upside and reduces the cushion if the strategic vision underwhelms.</w:t>
      </w:r>
    </w:p>
    <w:bookmarkEnd w:id="10"/>
    <w:bookmarkStart w:id="11" w:name="Xc6354209122c93914f31b555916caf0118ef396"/>
    <w:p>
      <w:pPr>
        <w:pStyle w:val="Heading2"/>
      </w:pPr>
      <w:r>
        <w:t xml:space="preserve">What we already know (the July 15 pre-announcement)</w:t>
      </w:r>
    </w:p>
    <w:p>
      <w:pPr>
        <w:pStyle w:val="FirstParagraph"/>
      </w:pPr>
      <w:r>
        <w:t xml:space="preserve">Prudential furnished an unusually detailed 8-K on July 15, so several key items are effectively pre-released:</w:t>
      </w:r>
    </w:p>
    <w:p>
      <w:pPr>
        <w:pStyle w:val="Compact"/>
        <w:numPr>
          <w:ilvl w:val="0"/>
          <w:numId w:val="1001"/>
        </w:numPr>
      </w:pPr>
      <w:r>
        <w:rPr>
          <w:b/>
          <w:bCs/>
        </w:rPr>
        <w:t xml:space="preserve">Actuarial assumption review is a modest net positive.</w:t>
      </w:r>
      <w:r>
        <w:t xml:space="preserve"> </w:t>
      </w:r>
      <w:r>
        <w:t xml:space="preserve">The annual Q2 assumption update produces a one-time AOI impact by segment of: Retirement</w:t>
      </w:r>
      <w:r>
        <w:t xml:space="preserve"> </w:t>
      </w:r>
      <w:r>
        <w:rPr>
          <w:b/>
          <w:bCs/>
        </w:rPr>
        <w:t xml:space="preserve">−</w:t>
      </w:r>
      <m:oMath>
        <m:r>
          <m:t>90</m:t>
        </m:r>
        <m:r>
          <m:t>M</m:t>
        </m:r>
        <m:r>
          <m:rPr>
            <m:sty m:val="p"/>
          </m:rPr>
          <m:t>*</m:t>
        </m:r>
        <m:r>
          <m:rPr>
            <m:sty m:val="p"/>
          </m:rPr>
          <m:t>*</m:t>
        </m:r>
        <m:r>
          <m:rPr>
            <m:sty m:val="p"/>
          </m:rPr>
          <m:t>,</m:t>
        </m:r>
        <m:r>
          <m:t>I</m:t>
        </m:r>
        <m:r>
          <m:t>n</m:t>
        </m:r>
        <m:r>
          <m:t>t</m:t>
        </m:r>
        <m:r>
          <m:t>e</m:t>
        </m:r>
        <m:r>
          <m:t>r</m:t>
        </m:r>
        <m:r>
          <m:t>n</m:t>
        </m:r>
        <m:r>
          <m:t>a</m:t>
        </m:r>
        <m:r>
          <m:t>t</m:t>
        </m:r>
        <m:r>
          <m:t>i</m:t>
        </m:r>
        <m:r>
          <m:t>o</m:t>
        </m:r>
        <m:r>
          <m:t>n</m:t>
        </m:r>
        <m:r>
          <m:t>a</m:t>
        </m:r>
        <m:r>
          <m:t>l</m:t>
        </m:r>
        <m:r>
          <m:rPr>
            <m:sty m:val="p"/>
          </m:rPr>
          <m:t>*</m:t>
        </m:r>
        <m:r>
          <m:rPr>
            <m:sty m:val="p"/>
          </m:rPr>
          <m:t>*</m:t>
        </m:r>
        <m:r>
          <m:rPr>
            <m:sty m:val="p"/>
          </m:rPr>
          <m:t>+</m:t>
        </m:r>
      </m:oMath>
      <w:r>
        <w:rPr>
          <w:b/>
          <w:bCs/>
        </w:rPr>
        <w:t xml:space="preserve">80M</w:t>
      </w:r>
      <w:r>
        <w:t xml:space="preserve">, Group Insurance</w:t>
      </w:r>
      <w:r>
        <w:t xml:space="preserve"> </w:t>
      </w:r>
      <w:r>
        <w:rPr>
          <w:b/>
          <w:bCs/>
        </w:rPr>
        <w:t xml:space="preserve">+</w:t>
      </w:r>
      <m:oMath>
        <m:r>
          <m:t>30</m:t>
        </m:r>
        <m:r>
          <m:t>M</m:t>
        </m:r>
        <m:r>
          <m:rPr>
            <m:sty m:val="p"/>
          </m:rPr>
          <m:t>*</m:t>
        </m:r>
        <m:r>
          <m:rPr>
            <m:sty m:val="p"/>
          </m:rPr>
          <m:t>*</m:t>
        </m:r>
        <m:r>
          <m:rPr>
            <m:sty m:val="p"/>
          </m:rPr>
          <m:t>,</m:t>
        </m:r>
        <m:r>
          <m:t>I</m:t>
        </m:r>
        <m:r>
          <m:t>n</m:t>
        </m:r>
        <m:r>
          <m:t>d</m:t>
        </m:r>
        <m:r>
          <m:t>i</m:t>
        </m:r>
        <m:r>
          <m:t>v</m:t>
        </m:r>
        <m:r>
          <m:t>i</m:t>
        </m:r>
        <m:r>
          <m:t>d</m:t>
        </m:r>
        <m:r>
          <m:t>u</m:t>
        </m:r>
        <m:r>
          <m:t>a</m:t>
        </m:r>
        <m:r>
          <m:t>l</m:t>
        </m:r>
        <m:r>
          <m:t>L</m:t>
        </m:r>
        <m:r>
          <m:t>i</m:t>
        </m:r>
        <m:r>
          <m:t>f</m:t>
        </m:r>
        <m:r>
          <m:t>e</m:t>
        </m:r>
        <m:r>
          <m:rPr>
            <m:sty m:val="p"/>
          </m:rPr>
          <m:t>*</m:t>
        </m:r>
        <m:r>
          <m:rPr>
            <m:sty m:val="p"/>
          </m:rPr>
          <m:t>*</m:t>
        </m:r>
        <m:r>
          <m:rPr>
            <m:sty m:val="p"/>
          </m:rPr>
          <m:t>+</m:t>
        </m:r>
      </m:oMath>
      <w:r>
        <w:rPr>
          <w:b/>
          <w:bCs/>
        </w:rPr>
        <w:t xml:space="preserve">30M</w:t>
      </w:r>
      <w:r>
        <w:t xml:space="preserve">, U.S. Legacy Products</w:t>
      </w:r>
      <w:r>
        <w:t xml:space="preserve"> </w:t>
      </w:r>
      <w:r>
        <w:rPr>
          <w:b/>
          <w:bCs/>
        </w:rPr>
        <w:t xml:space="preserve">+</w:t>
      </w:r>
      <m:oMath>
        <m:r>
          <m:t>15</m:t>
        </m:r>
        <m:r>
          <m:t>M</m:t>
        </m:r>
        <m:r>
          <m:rPr>
            <m:sty m:val="p"/>
          </m:rPr>
          <m:t>*</m:t>
        </m:r>
        <m:r>
          <m:rPr>
            <m:sty m:val="p"/>
          </m:rPr>
          <m:t>*</m:t>
        </m:r>
        <m:r>
          <m:rPr>
            <m:sty m:val="p"/>
          </m:rPr>
          <m:t>—</m:t>
        </m:r>
        <m:r>
          <m:t>a</m:t>
        </m:r>
        <m:r>
          <m:rPr>
            <m:sty m:val="p"/>
          </m:rPr>
          <m:t>*</m:t>
        </m:r>
        <m:r>
          <m:rPr>
            <m:sty m:val="p"/>
          </m:rPr>
          <m:t>*</m:t>
        </m:r>
        <m:r>
          <m:t>n</m:t>
        </m:r>
        <m:r>
          <m:t>e</m:t>
        </m:r>
        <m:r>
          <m:t>t</m:t>
        </m:r>
        <m:r>
          <m:t> </m:t>
        </m:r>
        <m:r>
          <m:rPr>
            <m:sty m:val="p"/>
          </m:rPr>
          <m:t>+</m:t>
        </m:r>
      </m:oMath>
      <w:r>
        <w:rPr>
          <w:b/>
          <w:bCs/>
        </w:rPr>
        <w:t xml:space="preserve">65M one-time benefit</w:t>
      </w:r>
      <w:r>
        <w:t xml:space="preserve">, with management stating no material ongoing AOI impact. This removes a common Q2 surprise risk (many insurers take charges here); note the Retirement drag is the item to scrutinize.</w:t>
      </w:r>
    </w:p>
    <w:p>
      <w:pPr>
        <w:pStyle w:val="Compact"/>
        <w:numPr>
          <w:ilvl w:val="0"/>
          <w:numId w:val="1001"/>
        </w:numPr>
      </w:pPr>
      <w:r>
        <w:t xml:space="preserve">**PGIM AUM was</w:t>
      </w:r>
      <w:r>
        <w:t xml:space="preserve"> </w:t>
      </w:r>
      <m:oMath>
        <m:r>
          <m:t>1.49</m:t>
        </m:r>
        <m:r>
          <m:t>T</m:t>
        </m:r>
        <m:r>
          <m:rPr>
            <m:sty m:val="p"/>
          </m:rPr>
          <m:t>*</m:t>
        </m:r>
        <m:r>
          <m:rPr>
            <m:sty m:val="p"/>
          </m:rPr>
          <m:t>*</m:t>
        </m:r>
        <m:r>
          <m:t>a</m:t>
        </m:r>
        <m:r>
          <m:t>s</m:t>
        </m:r>
        <m:r>
          <m:t>o</m:t>
        </m:r>
        <m:r>
          <m:t>f</m:t>
        </m:r>
        <m:r>
          <m:t>6</m:t>
        </m:r>
        <m:r>
          <m:rPr>
            <m:sty m:val="p"/>
          </m:rPr>
          <m:t>/</m:t>
        </m:r>
        <m:r>
          <m:t>30</m:t>
        </m:r>
        <m:r>
          <m:rPr>
            <m:sty m:val="p"/>
          </m:rPr>
          <m:t>(</m:t>
        </m:r>
        <m:r>
          <m:t>u</m:t>
        </m:r>
        <m:r>
          <m:t>p</m:t>
        </m:r>
        <m:r>
          <m:t>f</m:t>
        </m:r>
        <m:r>
          <m:t>r</m:t>
        </m:r>
        <m:r>
          <m:t>o</m:t>
        </m:r>
        <m:r>
          <m:t>m</m:t>
        </m:r>
        <m:r>
          <m:t> </m:t>
        </m:r>
      </m:oMath>
      <w:r>
        <w:t xml:space="preserve">1.4T in Q1), and PGIM "other related revenues, net" ran ~$60M on an AOI basis — a decent, though episodic, contributor.</w:t>
      </w:r>
    </w:p>
    <w:p>
      <w:pPr>
        <w:pStyle w:val="Compact"/>
        <w:numPr>
          <w:ilvl w:val="0"/>
          <w:numId w:val="1001"/>
        </w:numPr>
      </w:pPr>
      <w:r>
        <w:rPr>
          <w:b/>
          <w:bCs/>
        </w:rPr>
        <w:t xml:space="preserve">Alternative investment income was a small headwind</w:t>
      </w:r>
      <w:r>
        <w:t xml:space="preserve"> </w:t>
      </w:r>
      <w:r>
        <w:t xml:space="preserve">— an estimated</w:t>
      </w:r>
      <w:r>
        <w:t xml:space="preserve"> </w:t>
      </w:r>
      <w:r>
        <w:rPr>
          <w:b/>
          <w:bCs/>
        </w:rPr>
        <w:t xml:space="preserve">$20–40M below</w:t>
      </w:r>
      <w:r>
        <w:t xml:space="preserve"> </w:t>
      </w:r>
      <w:r>
        <w:t xml:space="preserve">near-term expectations for the general account, a modest drag on spread-heavy segments.</w:t>
      </w:r>
    </w:p>
    <w:bookmarkEnd w:id="11"/>
    <w:bookmarkStart w:id="12" w:name="X79854839c56379e1d5c71e1b10eaa3a443d49fb"/>
    <w:p>
      <w:pPr>
        <w:pStyle w:val="Heading2"/>
      </w:pPr>
      <w:r>
        <w:t xml:space="preserve">The Japan overhang: still the swing factor</w:t>
      </w:r>
    </w:p>
    <w:p>
      <w:pPr>
        <w:pStyle w:val="FirstParagraph"/>
      </w:pPr>
      <w:r>
        <w:t xml:space="preserve">The POJ (Prudential of Japan) sales-misconduct saga remains the dominant idiosyncratic risk:</w:t>
      </w:r>
    </w:p>
    <w:p>
      <w:pPr>
        <w:pStyle w:val="Compact"/>
        <w:numPr>
          <w:ilvl w:val="0"/>
          <w:numId w:val="1002"/>
        </w:numPr>
      </w:pPr>
      <w:r>
        <w:t xml:space="preserve">The voluntary</w:t>
      </w:r>
      <w:r>
        <w:t xml:space="preserve"> </w:t>
      </w:r>
      <w:r>
        <w:rPr>
          <w:b/>
          <w:bCs/>
        </w:rPr>
        <w:t xml:space="preserve">sales suspension runs through November 5</w:t>
      </w:r>
      <w:r>
        <w:t xml:space="preserve">; management guides to a full-year 2026 AOI hit of **~</w:t>
      </w:r>
      <m:oMath>
        <m:r>
          <m:t>525</m:t>
        </m:r>
        <m:r>
          <m:rPr>
            <m:sty m:val="p"/>
          </m:rPr>
          <m:t>–</m:t>
        </m:r>
        <m:r>
          <m:t>575</m:t>
        </m:r>
        <m:r>
          <m:t>M</m:t>
        </m:r>
        <m:r>
          <m:rPr>
            <m:sty m:val="p"/>
          </m:rPr>
          <m:t>*</m:t>
        </m:r>
        <m:r>
          <m:rPr>
            <m:sty m:val="p"/>
          </m:rPr>
          <m:t>*</m:t>
        </m:r>
        <m:r>
          <m:rPr>
            <m:sty m:val="p"/>
          </m:rPr>
          <m:t>,</m:t>
        </m:r>
        <m:r>
          <m:t>w</m:t>
        </m:r>
        <m:r>
          <m:t>i</m:t>
        </m:r>
        <m:r>
          <m:t>t</m:t>
        </m:r>
        <m:r>
          <m:t>h</m:t>
        </m:r>
        <m:r>
          <m:t>t</m:t>
        </m:r>
        <m:r>
          <m:t>h</m:t>
        </m:r>
        <m:r>
          <m:t>e</m:t>
        </m:r>
        <m:r>
          <m:t>i</m:t>
        </m:r>
        <m:r>
          <m:t>m</m:t>
        </m:r>
        <m:r>
          <m:t>p</m:t>
        </m:r>
        <m:r>
          <m:t>a</m:t>
        </m:r>
        <m:r>
          <m:t>c</m:t>
        </m:r>
        <m:r>
          <m:t>t</m:t>
        </m:r>
        <m:r>
          <m:rPr>
            <m:sty m:val="p"/>
          </m:rPr>
          <m:t>*</m:t>
        </m:r>
        <m:r>
          <m:rPr>
            <m:sty m:val="p"/>
          </m:rPr>
          <m:t>*</m:t>
        </m:r>
        <m:r>
          <m:t>n</m:t>
        </m:r>
        <m:r>
          <m:t>o</m:t>
        </m:r>
        <m:r>
          <m:t>n</m:t>
        </m:r>
        <m:r>
          <m:rPr>
            <m:sty m:val="p"/>
          </m:rPr>
          <m:t>−</m:t>
        </m:r>
        <m:r>
          <m:t>l</m:t>
        </m:r>
        <m:r>
          <m:t>i</m:t>
        </m:r>
        <m:r>
          <m:t>n</m:t>
        </m:r>
        <m:r>
          <m:t>e</m:t>
        </m:r>
        <m:r>
          <m:t>a</m:t>
        </m:r>
        <m:r>
          <m:t>r</m:t>
        </m:r>
        <m:r>
          <m:t>a</m:t>
        </m:r>
        <m:r>
          <m:t>n</m:t>
        </m:r>
        <m:r>
          <m:t>d</m:t>
        </m:r>
        <m:r>
          <m:t>b</m:t>
        </m:r>
        <m:r>
          <m:t>u</m:t>
        </m:r>
        <m:r>
          <m:t>i</m:t>
        </m:r>
        <m:r>
          <m:t>l</m:t>
        </m:r>
        <m:r>
          <m:t>d</m:t>
        </m:r>
        <m:r>
          <m:t>i</m:t>
        </m:r>
        <m:r>
          <m:t>n</m:t>
        </m:r>
        <m:r>
          <m:t>g</m:t>
        </m:r>
        <m:r>
          <m:rPr>
            <m:sty m:val="p"/>
          </m:rPr>
          <m:t>*</m:t>
        </m:r>
        <m:r>
          <m:rPr>
            <m:sty m:val="p"/>
          </m:rPr>
          <m:t>*</m:t>
        </m:r>
        <m:r>
          <m:t>t</m:t>
        </m:r>
        <m:r>
          <m:t>h</m:t>
        </m:r>
        <m:r>
          <m:t>r</m:t>
        </m:r>
        <m:r>
          <m:t>o</m:t>
        </m:r>
        <m:r>
          <m:t>u</m:t>
        </m:r>
        <m:r>
          <m:t>g</m:t>
        </m:r>
        <m:r>
          <m:t>h</m:t>
        </m:r>
        <m:r>
          <m:t>t</m:t>
        </m:r>
        <m:r>
          <m:t>h</m:t>
        </m:r>
        <m:r>
          <m:t>e</m:t>
        </m:r>
        <m:r>
          <m:t>y</m:t>
        </m:r>
        <m:r>
          <m:t>e</m:t>
        </m:r>
        <m:r>
          <m:t>a</m:t>
        </m:r>
        <m:r>
          <m:t>r</m:t>
        </m:r>
        <m:r>
          <m:rPr>
            <m:sty m:val="p"/>
          </m:rPr>
          <m:t>(</m:t>
        </m:r>
        <m:r>
          <m:t>Q</m:t>
        </m:r>
        <m:r>
          <m:t>1</m:t>
        </m:r>
        <m:r>
          <m:t>w</m:t>
        </m:r>
        <m:r>
          <m:t>a</m:t>
        </m:r>
        <m:r>
          <m:t>s</m:t>
        </m:r>
        <m:r>
          <m:t>o</m:t>
        </m:r>
        <m:r>
          <m:t>n</m:t>
        </m:r>
        <m:r>
          <m:t>l</m:t>
        </m:r>
        <m:r>
          <m:t>y</m:t>
        </m:r>
        <m:r>
          <m:t> </m:t>
        </m:r>
      </m:oMath>
      <w:r>
        <w:t xml:space="preserve">130M, with just two months of suspension). Expect a</w:t>
      </w:r>
      <w:r>
        <w:t xml:space="preserve"> </w:t>
      </w:r>
      <w:r>
        <w:rPr>
          <w:b/>
          <w:bCs/>
        </w:rPr>
        <w:t xml:space="preserve">larger sequential Japan drag in Q2</w:t>
      </w:r>
      <w:r>
        <w:t xml:space="preserve">, including higher Life Planner compensation subsidies.</w:t>
      </w:r>
    </w:p>
    <w:p>
      <w:pPr>
        <w:pStyle w:val="Compact"/>
        <w:numPr>
          <w:ilvl w:val="0"/>
          <w:numId w:val="1002"/>
        </w:numPr>
      </w:pPr>
      <w:r>
        <w:t xml:space="preserve">In-force earnings power is guided down ~10% in 2026 and ~15% in 2027, with a gradual sales ramp assuming average Life Planner productivity of only ~50% through 2027, and elevated surrenders during the suspension.</w:t>
      </w:r>
    </w:p>
    <w:p>
      <w:pPr>
        <w:pStyle w:val="Compact"/>
        <w:numPr>
          <w:ilvl w:val="0"/>
          <w:numId w:val="1002"/>
        </w:numPr>
      </w:pPr>
      <w:r>
        <w:rPr>
          <w:b/>
          <w:bCs/>
        </w:rPr>
        <w:t xml:space="preserve">What to watch:</w:t>
      </w:r>
      <w:r>
        <w:t xml:space="preserve"> </w:t>
      </w:r>
      <w:r>
        <w:t xml:space="preserve">Life Planner retention (Q1 headcount was down &lt;1%, a positive), surrender trends, and any commentary on the path to resuming sales in November. On July 24, Prudential issued its latest quarterly reimbursement update — of the 498 originally identified cases (¥3.08B), review/reimbursement is complete for 437 (¥2.85B) — signaling the remediation is progressing but will continue via quarterly updates.</w:t>
      </w:r>
    </w:p>
    <w:p>
      <w:pPr>
        <w:pStyle w:val="Compact"/>
        <w:numPr>
          <w:ilvl w:val="0"/>
          <w:numId w:val="1002"/>
        </w:numPr>
      </w:pPr>
      <w:r>
        <w:t xml:space="preserve">Reassuringly, management maintains</w:t>
      </w:r>
      <w:r>
        <w:t xml:space="preserve"> </w:t>
      </w:r>
      <w:r>
        <w:rPr>
          <w:b/>
          <w:bCs/>
        </w:rPr>
        <w:t xml:space="preserve">no material impact to capital, ESR, or cash flows</w:t>
      </w:r>
      <w:r>
        <w:t xml:space="preserve"> </w:t>
      </w:r>
      <w:r>
        <w:t xml:space="preserve">from the suspension, and thus</w:t>
      </w:r>
      <w:r>
        <w:t xml:space="preserve"> </w:t>
      </w:r>
      <w:r>
        <w:rPr>
          <w:b/>
          <w:bCs/>
        </w:rPr>
        <w:t xml:space="preserve">no change to capital return</w:t>
      </w:r>
      <w:r>
        <w:t xml:space="preserve"> </w:t>
      </w:r>
      <w:r>
        <w:t xml:space="preserve">plans.</w:t>
      </w:r>
    </w:p>
    <w:bookmarkEnd w:id="12"/>
    <w:bookmarkStart w:id="13" w:name="segment-watch-items"/>
    <w:p>
      <w:pPr>
        <w:pStyle w:val="Heading2"/>
      </w:pPr>
      <w:r>
        <w:t xml:space="preserve">Segment watch items</w:t>
      </w:r>
    </w:p>
    <w:p>
      <w:pPr>
        <w:pStyle w:val="Compact"/>
        <w:numPr>
          <w:ilvl w:val="0"/>
          <w:numId w:val="1003"/>
        </w:numPr>
      </w:pPr>
      <w:r>
        <w:rPr>
          <w:b/>
          <w:bCs/>
        </w:rPr>
        <w:t xml:space="preserve">PGIM:</w:t>
      </w:r>
      <w:r>
        <w:t xml:space="preserve"> </w:t>
      </w:r>
      <w:r>
        <w:t xml:space="preserve">Flows inflected positively in Q1 (~</w:t>
      </w:r>
      <m:oMath>
        <m:r>
          <m:t>1.8</m:t>
        </m:r>
        <m:r>
          <m:t>B</m:t>
        </m:r>
        <m:r>
          <m:t>t</m:t>
        </m:r>
        <m:r>
          <m:t>h</m:t>
        </m:r>
        <m:r>
          <m:t>i</m:t>
        </m:r>
        <m:r>
          <m:t>r</m:t>
        </m:r>
        <m:r>
          <m:t>d</m:t>
        </m:r>
        <m:r>
          <m:rPr>
            <m:sty m:val="p"/>
          </m:rPr>
          <m:t>−</m:t>
        </m:r>
        <m:r>
          <m:t>p</m:t>
        </m:r>
        <m:r>
          <m:t>a</m:t>
        </m:r>
        <m:r>
          <m:t>r</m:t>
        </m:r>
        <m:r>
          <m:t>t</m:t>
        </m:r>
        <m:r>
          <m:t>y</m:t>
        </m:r>
        <m:r>
          <m:t>n</m:t>
        </m:r>
        <m:r>
          <m:t>e</m:t>
        </m:r>
        <m:r>
          <m:t>t</m:t>
        </m:r>
        <m:r>
          <m:t>i</m:t>
        </m:r>
        <m:r>
          <m:t>n</m:t>
        </m:r>
        <m:r>
          <m:t>f</m:t>
        </m:r>
        <m:r>
          <m:t>l</m:t>
        </m:r>
        <m:r>
          <m:t>o</m:t>
        </m:r>
        <m:r>
          <m:t>w</m:t>
        </m:r>
        <m:r>
          <m:t>s</m:t>
        </m:r>
        <m:r>
          <m:rPr>
            <m:sty m:val="p"/>
          </m:rPr>
          <m:t>)</m:t>
        </m:r>
        <m:r>
          <m:rPr>
            <m:sty m:val="p"/>
          </m:rPr>
          <m:t>,</m:t>
        </m:r>
        <m:r>
          <m:t>b</m:t>
        </m:r>
        <m:r>
          <m:t>u</m:t>
        </m:r>
        <m:r>
          <m:t>t</m:t>
        </m:r>
        <m:r>
          <m:t>f</m:t>
        </m:r>
        <m:r>
          <m:t>i</m:t>
        </m:r>
        <m:r>
          <m:t>x</m:t>
        </m:r>
        <m:r>
          <m:t>e</m:t>
        </m:r>
        <m:r>
          <m:t>d</m:t>
        </m:r>
        <m:r>
          <m:t>i</m:t>
        </m:r>
        <m:r>
          <m:t>n</m:t>
        </m:r>
        <m:r>
          <m:t>c</m:t>
        </m:r>
        <m:r>
          <m:t>o</m:t>
        </m:r>
        <m:r>
          <m:t>m</m:t>
        </m:r>
        <m:r>
          <m:t>e</m:t>
        </m:r>
        <m:r>
          <m:rPr>
            <m:sty m:val="p"/>
          </m:rPr>
          <m:t>/</m:t>
        </m:r>
        <m:r>
          <m:t>r</m:t>
        </m:r>
        <m:r>
          <m:t>e</m:t>
        </m:r>
        <m:r>
          <m:t>a</m:t>
        </m:r>
        <m:r>
          <m:t>l</m:t>
        </m:r>
        <m:r>
          <m:t>e</m:t>
        </m:r>
        <m:r>
          <m:t>s</m:t>
        </m:r>
        <m:r>
          <m:t>t</m:t>
        </m:r>
        <m:r>
          <m:t>a</m:t>
        </m:r>
        <m:r>
          <m:t>t</m:t>
        </m:r>
        <m:r>
          <m:t>e</m:t>
        </m:r>
        <m:r>
          <m:rPr>
            <m:sty m:val="p"/>
          </m:rPr>
          <m:t>(</m:t>
        </m:r>
        <m:r>
          <m:rPr>
            <m:sty m:val="p"/>
          </m:rPr>
          <m:t>&gt;</m:t>
        </m:r>
        <m:r>
          <m:t>70</m:t>
        </m:r>
      </m:oMath>
      <w:r>
        <w:t xml:space="preserve">100M gross run-rate savings / 200bp margin expansion** targeted for 2026 (Q1 margin was 19.1%, vs. the 25–30% long-term goal), plus private credit deployment and the active-ETF platform (~$30B).</w:t>
      </w:r>
    </w:p>
    <w:p>
      <w:pPr>
        <w:pStyle w:val="Compact"/>
        <w:numPr>
          <w:ilvl w:val="0"/>
          <w:numId w:val="1003"/>
        </w:numPr>
      </w:pPr>
      <w:r>
        <w:rPr>
          <w:b/>
          <w:bCs/>
        </w:rPr>
        <w:t xml:space="preserve">Retirement:</w:t>
      </w:r>
      <w:r>
        <w:t xml:space="preserve"> </w:t>
      </w:r>
      <w:r>
        <w:t xml:space="preserve">Strong momentum (FlexGuard 2.0 RILA, PRT). Watch the clean run-rate — Q1 included ~</w:t>
      </w:r>
      <m:oMath>
        <m:r>
          <m:t>25</m:t>
        </m:r>
        <m:r>
          <m:t>M</m:t>
        </m:r>
        <m:r>
          <m:t>e</m:t>
        </m:r>
        <m:r>
          <m:t>p</m:t>
        </m:r>
        <m:r>
          <m:t>i</m:t>
        </m:r>
        <m:r>
          <m:t>s</m:t>
        </m:r>
        <m:r>
          <m:t>o</m:t>
        </m:r>
        <m:r>
          <m:t>d</m:t>
        </m:r>
        <m:r>
          <m:t>i</m:t>
        </m:r>
        <m:r>
          <m:t>c</m:t>
        </m:r>
        <m:r>
          <m:t>p</m:t>
        </m:r>
        <m:r>
          <m:t>r</m:t>
        </m:r>
        <m:r>
          <m:t>e</m:t>
        </m:r>
        <m:r>
          <m:t>p</m:t>
        </m:r>
        <m:r>
          <m:t>a</m:t>
        </m:r>
        <m:r>
          <m:t>y</m:t>
        </m:r>
        <m:r>
          <m:t>i</m:t>
        </m:r>
        <m:r>
          <m:t>n</m:t>
        </m:r>
        <m:r>
          <m:t>c</m:t>
        </m:r>
        <m:r>
          <m:t>o</m:t>
        </m:r>
        <m:r>
          <m:t>m</m:t>
        </m:r>
        <m:r>
          <m:t>e</m:t>
        </m:r>
        <m:r>
          <m:rPr>
            <m:sty m:val="p"/>
          </m:rPr>
          <m:t>,</m:t>
        </m:r>
        <m:r>
          <m:t>s</m:t>
        </m:r>
        <m:r>
          <m:t>o</m:t>
        </m:r>
        <m:r>
          <m:t> </m:t>
        </m:r>
      </m:oMath>
      <w:r>
        <w:t xml:space="preserve">600M is a fairer underlying quarterly base. PRT is lumpy; management expects a second-half-weighted year.</w:t>
      </w:r>
    </w:p>
    <w:p>
      <w:pPr>
        <w:pStyle w:val="Compact"/>
        <w:numPr>
          <w:ilvl w:val="0"/>
          <w:numId w:val="1003"/>
        </w:numPr>
      </w:pPr>
      <w:r>
        <w:rPr>
          <w:b/>
          <w:bCs/>
        </w:rPr>
        <w:t xml:space="preserve">Group Insurance:</w:t>
      </w:r>
      <w:r>
        <w:t xml:space="preserve"> </w:t>
      </w:r>
      <w:r>
        <w:t xml:space="preserve">Disability underwriting normalized off unusually favorable 2025 levels; Q1 benefits ratio was 83.7% (within the 83–87% target). Watch whether macro-driven LTD incidence/severity pressure persists.</w:t>
      </w:r>
    </w:p>
    <w:p>
      <w:pPr>
        <w:pStyle w:val="Compact"/>
        <w:numPr>
          <w:ilvl w:val="0"/>
          <w:numId w:val="1003"/>
        </w:numPr>
      </w:pPr>
      <w:r>
        <w:rPr>
          <w:b/>
          <w:bCs/>
        </w:rPr>
        <w:t xml:space="preserve">Individual Life / U.S. Legacy:</w:t>
      </w:r>
      <w:r>
        <w:t xml:space="preserve"> </w:t>
      </w:r>
      <w:r>
        <w:t xml:space="preserve">The re-segmentation makes the ongoing Individual Life book look healthier ($139M Q1 AOI, record sales); GUL losses in Legacy are reserve-accrual driven and expected to reverse long term.</w:t>
      </w:r>
    </w:p>
    <w:bookmarkEnd w:id="13"/>
    <w:bookmarkStart w:id="14" w:name="capital--housekeeping"/>
    <w:p>
      <w:pPr>
        <w:pStyle w:val="Heading2"/>
      </w:pPr>
      <w:r>
        <w:t xml:space="preserve">Capital &amp; housekeeping</w:t>
      </w:r>
    </w:p>
    <w:p>
      <w:pPr>
        <w:pStyle w:val="Compact"/>
        <w:numPr>
          <w:ilvl w:val="0"/>
          <w:numId w:val="1004"/>
        </w:numPr>
      </w:pPr>
      <w:r>
        <w:t xml:space="preserve">Balance sheet is solid: cash/liquid assets ~$3.7B (vs. $3B minimum), estimated ESR 170–190% (vs. 150% target), AA financial strength.</w:t>
      </w:r>
    </w:p>
    <w:p>
      <w:pPr>
        <w:pStyle w:val="Compact"/>
        <w:numPr>
          <w:ilvl w:val="0"/>
          <w:numId w:val="1004"/>
        </w:numPr>
      </w:pPr>
      <w:r>
        <w:t xml:space="preserve">Full-year 2026 corporate/other drag guidance was reiterated at ~$1.65B (first half lighter, second half heavier); the</w:t>
      </w:r>
      <w:r>
        <w:t xml:space="preserve"> </w:t>
      </w:r>
      <w:r>
        <w:rPr>
          <w:b/>
          <w:bCs/>
        </w:rPr>
        <w:t xml:space="preserve">2026 tax rate was lowered to 21–22%</w:t>
      </w:r>
      <w:r>
        <w:t xml:space="preserve"> </w:t>
      </w:r>
      <w:r>
        <w:t xml:space="preserve">(from 23–24%), a modest EPS tailwind. A prior</w:t>
      </w:r>
      <w:r>
        <w:t xml:space="preserve"> </w:t>
      </w:r>
      <m:oMath>
        <m:r>
          <m:t>135</m:t>
        </m:r>
        <m:r>
          <m:t>M</m:t>
        </m:r>
        <m:r>
          <m:t>r</m:t>
        </m:r>
        <m:r>
          <m:t>e</m:t>
        </m:r>
        <m:r>
          <m:t>s</m:t>
        </m:r>
        <m:r>
          <m:t>t</m:t>
        </m:r>
        <m:r>
          <m:t>r</m:t>
        </m:r>
        <m:r>
          <m:t>u</m:t>
        </m:r>
        <m:r>
          <m:t>c</m:t>
        </m:r>
        <m:r>
          <m:t>t</m:t>
        </m:r>
        <m:r>
          <m:t>u</m:t>
        </m:r>
        <m:r>
          <m:t>r</m:t>
        </m:r>
        <m:r>
          <m:t>i</m:t>
        </m:r>
        <m:r>
          <m:t>n</m:t>
        </m:r>
        <m:r>
          <m:t>g</m:t>
        </m:r>
        <m:r>
          <m:t>c</m:t>
        </m:r>
        <m:r>
          <m:t>h</m:t>
        </m:r>
        <m:r>
          <m:t>a</m:t>
        </m:r>
        <m:r>
          <m:t>r</m:t>
        </m:r>
        <m:r>
          <m:t>g</m:t>
        </m:r>
        <m:r>
          <m:t>e</m:t>
        </m:r>
        <m:r>
          <m:t>s</m:t>
        </m:r>
        <m:r>
          <m:t>h</m:t>
        </m:r>
        <m:r>
          <m:t>o</m:t>
        </m:r>
        <m:r>
          <m:t>u</m:t>
        </m:r>
        <m:r>
          <m:t>l</m:t>
        </m:r>
        <m:r>
          <m:t>d</m:t>
        </m:r>
        <m:r>
          <m:t>y</m:t>
        </m:r>
        <m:r>
          <m:t>i</m:t>
        </m:r>
        <m:r>
          <m:t>e</m:t>
        </m:r>
        <m:r>
          <m:t>l</m:t>
        </m:r>
        <m:r>
          <m:t>d</m:t>
        </m:r>
        <m:r>
          <m:t> </m:t>
        </m:r>
      </m:oMath>
      <w:r>
        <w:t xml:space="preserve">150M of run-rate savings in 2027.</w:t>
      </w:r>
    </w:p>
    <w:bookmarkEnd w:id="14"/>
    <w:bookmarkStart w:id="15" w:name="bottom-line-for-investors"/>
    <w:p>
      <w:pPr>
        <w:pStyle w:val="Heading2"/>
      </w:pPr>
      <w:r>
        <w:t xml:space="preserve">Bottom line for investors</w:t>
      </w:r>
    </w:p>
    <w:p>
      <w:pPr>
        <w:pStyle w:val="FirstParagraph"/>
      </w:pPr>
      <w:r>
        <w:t xml:space="preserve">The quarter itself carries limited surprise risk — the actuarial review is a net positive, PGIM AUM and alts income are pre-disclosed, and Japan's drag is guided (though larger sequentially). The</w:t>
      </w:r>
      <w:r>
        <w:t xml:space="preserve"> </w:t>
      </w:r>
      <w:r>
        <w:rPr>
          <w:b/>
          <w:bCs/>
        </w:rPr>
        <w:t xml:space="preserve">real catalyst is the strategy reveal</w:t>
      </w:r>
      <w:r>
        <w:t xml:space="preserve">: how aggressively Prudential reshapes its portfolio, reallocates capital, and frames its ROE/margin ambitions. With the stock near 52-week highs and up ~8% into the print, the risk/reward hinges on whether management's plan is bold enough to validate the run-up. Key debates to resolve on the call: (1) scope of the business-mix shift, (2) the Japan sales-resumption trajectory beyond November 5, (3) PGIM margin/flow durability, and (4) any change to the pace of capital return.</w:t>
      </w:r>
    </w:p>
    <w:p>
      <w:pPr>
        <w:pStyle w:val="BodyText"/>
      </w:pPr>
      <w:r>
        <w:rPr>
          <w:i/>
          <w:iCs/>
        </w:rPr>
        <w:t xml:space="preserve">Note: Preliminary figures above are from Prudential's July 15, 2026 8-K and are unaudited/estimated; actuals may differ.</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2026-07-29T02:24:15Z</dcterms:created>
  <dcterms:modified xsi:type="dcterms:W3CDTF">2026-07-29T02:24:15Z</dcterms:modified>
</cp:coreProperties>
</file>

<file path=docProps/custom.xml><?xml version="1.0" encoding="utf-8"?>
<Properties xmlns="http://schemas.openxmlformats.org/officeDocument/2006/custom-properties" xmlns:vt="http://schemas.openxmlformats.org/officeDocument/2006/docPropsVTypes"/>
</file>