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7-29"/>
    <w:p>
      <w:pPr>
        <w:pStyle w:val="Heading1"/>
      </w:pPr>
      <w:r>
        <w:t xml:space="preserve">PRU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~$3.44 vs. cons $3.38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AUM / other-related revenue (pre-announced)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1.49</m:t>
              </m:r>
              <m:r>
                <m:t>T</m:t>
              </m:r>
              <m:r>
                <m:t>A</m:t>
              </m:r>
              <m:r>
                <m:t>U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Insurance benefits ratio / AOI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~85.0% ratio vs. cons ~84.0%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~$13.70 vs. cons $13.81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POJ (Japan) sales-suspension pretax AOI hit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vs. cons $550M (FY2026 aggregate)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tax rate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~21.5% vs. cons 22.0%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(FADE)</w:t>
            </w:r>
          </w:p>
        </w:tc>
        <w:tc>
          <w:tcPr/>
          <w:p>
            <w:pPr>
              <w:pStyle w:val="Compact"/>
            </w:pPr>
            <w:r>
              <w:t xml:space="preserve">Stock rallied ~15% into the print on pre-announced actuarial/AUM items, raising the bar; core Q2 beat looks largely pre-digested while the implicit FY2026 EPS trim (Japan cost run-rate building toward the high end of $525-575M guide, alts shortfall, softer Group Insurance) pulls sell-side FY26/27 estimates down even after an in-line-to-modest headline beat, and unless the strategy update delivers concrete new targets/buyback acceleration, initial pop fades as analysts reset numbers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2026-07-29T02:19:29Z</dcterms:created>
  <dcterms:modified xsi:type="dcterms:W3CDTF">2026-07-29T02:19:29Z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