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Prudential Financial (PRU) ahead of tomorrow's earnings report.This is very relevant — there's a pre-announcement 8-K about Q2 results and actuarial adjustments, plus a Japan misconduct issue. Let me dig into these along with Q1 results.Now let me get the Q1 2026 earnings details for context and check the stock price trend.# Prudential Financial (PRU) — Earnings Preview</w:t>
      </w:r>
    </w:p>
    <w:p>
      <w:pPr>
        <w:pStyle w:val="BodyText"/>
      </w:pPr>
      <w:r>
        <w:rPr>
          <w:b/>
          <w:bCs/>
        </w:rPr>
        <w:t xml:space="preserve">Report due:</w:t>
      </w:r>
      <w:r>
        <w:t xml:space="preserve"> </w:t>
      </w:r>
      <w:r>
        <w:t xml:space="preserve">Ahead of Prudential's upcoming quarterly release covering the second quarter of 2026 (period ended June 30, 2026)</w:t>
      </w:r>
      <w:r>
        <w:t xml:space="preserve"> </w:t>
      </w:r>
      <w:r>
        <w:rPr>
          <w:b/>
          <w:bCs/>
        </w:rPr>
        <w:t xml:space="preserve">Stock:</w:t>
      </w:r>
      <w:r>
        <w:t xml:space="preserve"> </w:t>
      </w:r>
      <w:r>
        <w:t xml:space="preserve">NYSE: PRU — closed July 28 at</w:t>
      </w:r>
      <w:r>
        <w:t xml:space="preserve"> </w:t>
      </w:r>
      <w:r>
        <w:rPr>
          <w:b/>
          <w:bCs/>
        </w:rPr>
        <w:t xml:space="preserve">$123.96</w:t>
      </w:r>
      <w:r>
        <w:t xml:space="preserve">, near 52-week highs after a strong July rally (shares are up roughly 15% since June 30 and about 9% year-to-date)</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Prudential heads into this report on a two-track narrative: solid underlying operating momentum in its U.S. and asset-management businesses, set against a well-flagged, quantified drag from the ongoing Prudential of Japan (POJ) sales-suspension and misconduct remediation. Unusually, management has already pre-announced several Q2 items via an 8-K, so much of the "surprise" in this report should be limited to how the pieces reconcile — the bigger swing factor for the stock may be the</w:t>
      </w:r>
      <w:r>
        <w:t xml:space="preserve"> </w:t>
      </w:r>
      <w:r>
        <w:rPr>
          <w:b/>
          <w:bCs/>
        </w:rPr>
        <w:t xml:space="preserve">strategic/long-term-vision update</w:t>
      </w:r>
      <w:r>
        <w:t xml:space="preserve"> </w:t>
      </w:r>
      <w:r>
        <w:t xml:space="preserve">management has promised to deliver alongside results.</w:t>
      </w:r>
    </w:p>
    <w:p>
      <w:pPr>
        <w:pStyle w:val="BodyText"/>
      </w:pPr>
      <w:r>
        <w:rPr>
          <w:b/>
          <w:bCs/>
        </w:rPr>
        <w:t xml:space="preserve">Consensus expectations:</w:t>
      </w:r>
      <w:r>
        <w:t xml:space="preserve"> </w:t>
      </w:r>
      <w:r>
        <w:t xml:space="preserve">Analysts are looking for adjusted (operating) EPS of</w:t>
      </w:r>
      <w:r>
        <w:t xml:space="preserve"> </w:t>
      </w:r>
      <w:r>
        <w:rPr>
          <w:b/>
          <w:bCs/>
        </w:rPr>
        <w:t xml:space="preserve">$3.38</w:t>
      </w:r>
      <w:r>
        <w:t xml:space="preserve"> </w:t>
      </w:r>
      <w:r>
        <w:t xml:space="preserve">for the quarter, which would be</w:t>
      </w:r>
      <w:r>
        <w:t xml:space="preserve"> </w:t>
      </w:r>
      <w:r>
        <w:rPr>
          <w:b/>
          <w:bCs/>
        </w:rPr>
        <w:t xml:space="preserve">down ~5.6%</w:t>
      </w:r>
      <w:r>
        <w:t xml:space="preserve"> </w:t>
      </w:r>
      <w:r>
        <w:t xml:space="preserve">from</w:t>
      </w:r>
      <w:r>
        <w:t xml:space="preserve"> </w:t>
      </w:r>
      <m:oMath>
        <m:r>
          <m:t>3.58</m:t>
        </m:r>
        <m:r>
          <m:t>a</m:t>
        </m:r>
        <m:r>
          <m:t>y</m:t>
        </m:r>
        <m:r>
          <m:t>e</m:t>
        </m:r>
        <m:r>
          <m:t>a</m:t>
        </m:r>
        <m:r>
          <m:t>r</m:t>
        </m:r>
        <m:r>
          <m:t>a</m:t>
        </m:r>
        <m:r>
          <m:t>g</m:t>
        </m:r>
        <m:r>
          <m:t>o</m:t>
        </m:r>
        <m:r>
          <m:rPr>
            <m:sty m:val="p"/>
          </m:rPr>
          <m:t>.</m:t>
        </m:r>
        <m:r>
          <m:t>F</m:t>
        </m:r>
        <m:r>
          <m:t>o</m:t>
        </m:r>
        <m:r>
          <m:t>r</m:t>
        </m:r>
        <m:r>
          <m:t>f</m:t>
        </m:r>
        <m:r>
          <m:t>u</m:t>
        </m:r>
        <m:r>
          <m:t>l</m:t>
        </m:r>
        <m:r>
          <m:t>l</m:t>
        </m:r>
        <m:r>
          <m:rPr>
            <m:sty m:val="p"/>
          </m:rPr>
          <m:t>−</m:t>
        </m:r>
        <m:r>
          <m:t>y</m:t>
        </m:r>
        <m:r>
          <m:t>e</m:t>
        </m:r>
        <m:r>
          <m:t>a</m:t>
        </m:r>
        <m:r>
          <m:t>r</m:t>
        </m:r>
        <m:r>
          <m:t>2026</m:t>
        </m:r>
        <m:r>
          <m:rPr>
            <m:sty m:val="p"/>
          </m:rPr>
          <m:t>,</m:t>
        </m:r>
        <m:r>
          <m:t>t</m:t>
        </m:r>
        <m:r>
          <m:t>h</m:t>
        </m:r>
        <m:r>
          <m:t>e</m:t>
        </m:r>
        <m:r>
          <m:t>S</m:t>
        </m:r>
        <m:r>
          <m:t>t</m:t>
        </m:r>
        <m:r>
          <m:t>r</m:t>
        </m:r>
        <m:r>
          <m:t>e</m:t>
        </m:r>
        <m:r>
          <m:t>e</m:t>
        </m:r>
        <m:r>
          <m:t>t</m:t>
        </m:r>
        <m:r>
          <m:t>m</m:t>
        </m:r>
        <m:r>
          <m:t>o</m:t>
        </m:r>
        <m:r>
          <m:t>d</m:t>
        </m:r>
        <m:r>
          <m:t>e</m:t>
        </m:r>
        <m:r>
          <m:t>l</m:t>
        </m:r>
        <m:r>
          <m:t>s</m:t>
        </m:r>
        <m:r>
          <m:t>a</m:t>
        </m:r>
        <m:r>
          <m:t>d</m:t>
        </m:r>
        <m:r>
          <m:t>j</m:t>
        </m:r>
        <m:r>
          <m:t>u</m:t>
        </m:r>
        <m:r>
          <m:t>s</m:t>
        </m:r>
        <m:r>
          <m:t>t</m:t>
        </m:r>
        <m:r>
          <m:t>e</m:t>
        </m:r>
        <m:r>
          <m:t>d</m:t>
        </m:r>
        <m:r>
          <m:t>E</m:t>
        </m:r>
        <m:r>
          <m:t>P</m:t>
        </m:r>
        <m:r>
          <m:t>S</m:t>
        </m:r>
        <m:r>
          <m:t>o</m:t>
        </m:r>
        <m:r>
          <m:t>f</m:t>
        </m:r>
        <m:r>
          <m:rPr>
            <m:sty m:val="p"/>
          </m:rPr>
          <m:t>*</m:t>
        </m:r>
        <m:r>
          <m:rPr>
            <m:sty m:val="p"/>
          </m:rPr>
          <m:t>*</m:t>
        </m:r>
      </m:oMath>
      <w:r>
        <w:t xml:space="preserve">13.81** (down 4.3% from 2025's</w:t>
      </w:r>
      <w:r>
        <w:t xml:space="preserve"> </w:t>
      </w:r>
      <m:oMath>
        <m:r>
          <m:t>14.43</m:t>
        </m:r>
        <m:r>
          <m:rPr>
            <m:sty m:val="p"/>
          </m:rPr>
          <m:t>)</m:t>
        </m:r>
        <m:r>
          <m:rPr>
            <m:sty m:val="p"/>
          </m:rPr>
          <m:t>,</m:t>
        </m:r>
        <m:r>
          <m:t>b</m:t>
        </m:r>
        <m:r>
          <m:t>e</m:t>
        </m:r>
        <m:r>
          <m:t>f</m:t>
        </m:r>
        <m:r>
          <m:t>o</m:t>
        </m:r>
        <m:r>
          <m:t>r</m:t>
        </m:r>
        <m:r>
          <m:t>e</m:t>
        </m:r>
        <m:r>
          <m:t>a</m:t>
        </m:r>
        <m:r>
          <m:t>r</m:t>
        </m:r>
        <m:r>
          <m:t>e</m:t>
        </m:r>
        <m:r>
          <m:t>b</m:t>
        </m:r>
        <m:r>
          <m:t>o</m:t>
        </m:r>
        <m:r>
          <m:t>u</m:t>
        </m:r>
        <m:r>
          <m:t>n</m:t>
        </m:r>
        <m:r>
          <m:t>d</m:t>
        </m:r>
        <m:r>
          <m:t>t</m:t>
        </m:r>
        <m:r>
          <m:t>o</m:t>
        </m:r>
        <m:r>
          <m:rPr>
            <m:sty m:val="p"/>
          </m:rPr>
          <m:t>*</m:t>
        </m:r>
        <m:r>
          <m:rPr>
            <m:sty m:val="p"/>
          </m:rPr>
          <m:t>*</m:t>
        </m:r>
      </m:oMath>
      <w:r>
        <w:t xml:space="preserve">14.67** in 2027 (+6.2%) — consistent with a "trough year" framing around the Japan disruption and actuarial noise.</w:t>
      </w:r>
    </w:p>
    <w:bookmarkEnd w:id="9"/>
    <w:bookmarkStart w:id="10" w:name="Xc5052100804f2362b30949b43f34d9ce13c661b"/>
    <w:p>
      <w:pPr>
        <w:pStyle w:val="Heading2"/>
      </w:pPr>
      <w:r>
        <w:t xml:space="preserve">2. What Management Already Told Us (July 15 Pre-Announcement)</w:t>
      </w:r>
    </w:p>
    <w:p>
      <w:pPr>
        <w:pStyle w:val="FirstParagraph"/>
      </w:pPr>
      <w:r>
        <w:t xml:space="preserve">Prudential furnished an 8-K on July 15 disclosing preliminary Q2 data ahead of the full release. Key items to reconcile against the print: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Item</w:t>
            </w:r>
          </w:p>
        </w:tc>
        <w:tc>
          <w:tcPr/>
          <w:p>
            <w:pPr>
              <w:pStyle w:val="Compact"/>
            </w:pPr>
            <w:r>
              <w:t xml:space="preserve">Detail</w:t>
            </w:r>
          </w:p>
        </w:tc>
      </w:tr>
      <w:tr>
        <w:tc>
          <w:tcPr/>
          <w:p>
            <w:pPr>
              <w:pStyle w:val="Compact"/>
            </w:pPr>
            <w:r>
              <w:t xml:space="preserve">PGIM AUM (6/30/26)</w:t>
            </w:r>
          </w:p>
        </w:tc>
        <w:tc>
          <w:tcPr/>
          <w:p>
            <w:pPr>
              <w:pStyle w:val="Compact"/>
            </w:pPr>
            <w:r>
              <w:rPr>
                <w:b/>
                <w:bCs/>
              </w:rPr>
              <w:t xml:space="preserve">$1.49 trillion</w:t>
            </w:r>
            <w:r>
              <w:t xml:space="preserve">, up from $1.433T at Q1-end</w:t>
            </w:r>
          </w:p>
        </w:tc>
      </w:tr>
      <w:tr>
        <w:tc>
          <w:tcPr/>
          <w:p>
            <w:pPr>
              <w:pStyle w:val="Compact"/>
            </w:pPr>
            <w:r>
              <w:t xml:space="preserve">PGIM "other related revenues" (incentive/transaction fees, seed/co-investment, mortgage origination)</w:t>
            </w:r>
          </w:p>
        </w:tc>
        <w:tc>
          <w:tcPr/>
          <w:p>
            <w:pPr>
              <w:pStyle w:val="Compact"/>
            </w:pPr>
            <w:r>
              <w:t xml:space="preserve">~</w:t>
            </w:r>
            <w:r>
              <w:rPr>
                <w:b/>
                <w:bCs/>
              </w:rPr>
              <w:t xml:space="preserve">$60 million</w:t>
            </w:r>
            <w:r>
              <w:t xml:space="preserve"> </w:t>
            </w:r>
            <w:r>
              <w:t xml:space="preserve">(AOI basis)</w:t>
            </w:r>
          </w:p>
        </w:tc>
      </w:tr>
      <w:tr>
        <w:tc>
          <w:tcPr/>
          <w:p>
            <w:pPr>
              <w:pStyle w:val="Compact"/>
            </w:pPr>
            <w:r>
              <w:t xml:space="preserve">General Account alternative investment income</w:t>
            </w:r>
          </w:p>
        </w:tc>
        <w:tc>
          <w:tcPr/>
          <w:p>
            <w:pPr>
              <w:pStyle w:val="Compact"/>
            </w:pPr>
            <w:r>
              <w:t xml:space="preserve">Expected</w:t>
            </w:r>
            <w:r>
              <w:t xml:space="preserve"> </w:t>
            </w:r>
            <w:r>
              <w:rPr>
                <w:b/>
                <w:bCs/>
              </w:rPr>
              <w:t xml:space="preserve">$20–40 million below</w:t>
            </w:r>
            <w:r>
              <w:t xml:space="preserve"> </w:t>
            </w:r>
            <w:r>
              <w:t xml:space="preserve">near-term expectations — a modest negative surprise</w:t>
            </w:r>
          </w:p>
        </w:tc>
      </w:tr>
      <w:tr>
        <w:tc>
          <w:tcPr/>
          <w:p>
            <w:pPr>
              <w:pStyle w:val="Compact"/>
            </w:pPr>
            <w:r>
              <w:t xml:space="preserve">Annual actuarial assumption review (one-time AOI impacts, Q2 only)</w:t>
            </w:r>
          </w:p>
        </w:tc>
        <w:tc>
          <w:tcPr/>
          <w:p>
            <w:pPr>
              <w:pStyle w:val="Compact"/>
            </w:pPr>
            <w:r>
              <w:t xml:space="preserve">Retirement</w:t>
            </w:r>
            <w:r>
              <w:t xml:space="preserve"> </w:t>
            </w:r>
            <w:r>
              <w:rPr>
                <w:b/>
                <w:bCs/>
              </w:rPr>
              <w:t xml:space="preserve">–</w:t>
            </w:r>
            <m:oMath>
              <m:r>
                <m:t>90</m:t>
              </m:r>
              <m:r>
                <m:t>M</m:t>
              </m:r>
              <m:r>
                <m:rPr>
                  <m:sty m:val="p"/>
                </m:rPr>
                <m:t>*</m:t>
              </m:r>
              <m:r>
                <m:rPr>
                  <m:sty m:val="p"/>
                </m:rPr>
                <m:t>*</m:t>
              </m:r>
              <m:r>
                <m:rPr>
                  <m:sty m:val="p"/>
                </m:rPr>
                <m:t>;</m:t>
              </m:r>
              <m:r>
                <m:t>I</m:t>
              </m:r>
              <m:r>
                <m:t>n</m:t>
              </m:r>
              <m:r>
                <m:t>t</m:t>
              </m:r>
              <m:r>
                <m:t>e</m:t>
              </m:r>
              <m:r>
                <m:t>r</m:t>
              </m:r>
              <m:r>
                <m:t>n</m:t>
              </m:r>
              <m:r>
                <m:t>a</m:t>
              </m:r>
              <m:r>
                <m:t>t</m:t>
              </m:r>
              <m:r>
                <m:t>i</m:t>
              </m:r>
              <m:r>
                <m:t>o</m:t>
              </m:r>
              <m:r>
                <m:t>n</m:t>
              </m:r>
              <m:r>
                <m:t>a</m:t>
              </m:r>
              <m:r>
                <m:t>l</m:t>
              </m:r>
              <m:r>
                <m:rPr>
                  <m:sty m:val="p"/>
                </m:rPr>
                <m:t>*</m:t>
              </m:r>
              <m:r>
                <m:rPr>
                  <m:sty m:val="p"/>
                </m:rPr>
                <m:t>*</m:t>
              </m:r>
              <m:r>
                <m:rPr>
                  <m:sty m:val="p"/>
                </m:rPr>
                <m:t>+</m:t>
              </m:r>
            </m:oMath>
            <w:r>
              <w:rPr>
                <w:b/>
                <w:bCs/>
              </w:rPr>
              <w:t xml:space="preserve">80M</w:t>
            </w:r>
            <w:r>
              <w:t xml:space="preserve">; Group Insurance</w:t>
            </w:r>
            <w:r>
              <w:t xml:space="preserve"> </w:t>
            </w:r>
            <w:r>
              <w:rPr>
                <w:b/>
                <w:bCs/>
              </w:rPr>
              <w:t xml:space="preserve">+</w:t>
            </w:r>
            <m:oMath>
              <m:r>
                <m:t>30</m:t>
              </m:r>
              <m:r>
                <m:t>M</m:t>
              </m:r>
              <m:r>
                <m:rPr>
                  <m:sty m:val="p"/>
                </m:rPr>
                <m:t>*</m:t>
              </m:r>
              <m:r>
                <m:rPr>
                  <m:sty m:val="p"/>
                </m:rPr>
                <m:t>*</m:t>
              </m:r>
              <m:r>
                <m:rPr>
                  <m:sty m:val="p"/>
                </m:rPr>
                <m:t>;</m:t>
              </m:r>
              <m:r>
                <m:t>I</m:t>
              </m:r>
              <m:r>
                <m:t>n</m:t>
              </m:r>
              <m:r>
                <m:t>d</m:t>
              </m:r>
              <m:r>
                <m:t>i</m:t>
              </m:r>
              <m:r>
                <m:t>v</m:t>
              </m:r>
              <m:r>
                <m:t>i</m:t>
              </m:r>
              <m:r>
                <m:t>d</m:t>
              </m:r>
              <m:r>
                <m:t>u</m:t>
              </m:r>
              <m:r>
                <m:t>a</m:t>
              </m:r>
              <m:r>
                <m:t>l</m:t>
              </m:r>
              <m:r>
                <m:t>L</m:t>
              </m:r>
              <m:r>
                <m:t>i</m:t>
              </m:r>
              <m:r>
                <m:t>f</m:t>
              </m:r>
              <m:r>
                <m:t>e</m:t>
              </m:r>
              <m:r>
                <m:rPr>
                  <m:sty m:val="p"/>
                </m:rPr>
                <m:t>*</m:t>
              </m:r>
              <m:r>
                <m:rPr>
                  <m:sty m:val="p"/>
                </m:rPr>
                <m:t>*</m:t>
              </m:r>
              <m:r>
                <m:rPr>
                  <m:sty m:val="p"/>
                </m:rPr>
                <m:t>+</m:t>
              </m:r>
            </m:oMath>
            <w:r>
              <w:rPr>
                <w:b/>
                <w:bCs/>
              </w:rPr>
              <w:t xml:space="preserve">30M</w:t>
            </w:r>
            <w:r>
              <w:t xml:space="preserve">; U.S. Legacy Products</w:t>
            </w:r>
            <w:r>
              <w:t xml:space="preserve"> </w:t>
            </w:r>
            <w:r>
              <w:rPr>
                <w:b/>
                <w:bCs/>
              </w:rPr>
              <w:t xml:space="preserve">+</w:t>
            </w:r>
            <m:oMath>
              <m:r>
                <m:t>15</m:t>
              </m:r>
              <m:r>
                <m:t>M</m:t>
              </m:r>
              <m:r>
                <m:rPr>
                  <m:sty m:val="p"/>
                </m:rPr>
                <m:t>*</m:t>
              </m:r>
              <m:r>
                <m:rPr>
                  <m:sty m:val="p"/>
                </m:rPr>
                <m:t>*</m:t>
              </m:r>
              <m:r>
                <m:rPr>
                  <m:sty m:val="p"/>
                </m:rPr>
                <m:t>—</m:t>
              </m:r>
              <m:r>
                <m:t>n</m:t>
              </m:r>
              <m:r>
                <m:t>e</m:t>
              </m:r>
              <m:r>
                <m:t>t</m:t>
              </m:r>
              <m:r>
                <m:t>r</m:t>
              </m:r>
              <m:r>
                <m:t>o</m:t>
              </m:r>
              <m:r>
                <m:t>u</m:t>
              </m:r>
              <m:r>
                <m:t>g</m:t>
              </m:r>
              <m:r>
                <m:t>h</m:t>
              </m:r>
              <m:r>
                <m:t>l</m:t>
              </m:r>
              <m:r>
                <m:t>y</m:t>
              </m:r>
              <m:r>
                <m:rPr>
                  <m:sty m:val="p"/>
                </m:rPr>
                <m:t>*</m:t>
              </m:r>
              <m:r>
                <m:rPr>
                  <m:sty m:val="p"/>
                </m:rPr>
                <m:t>*</m:t>
              </m:r>
              <m:r>
                <m:rPr>
                  <m:sty m:val="p"/>
                </m:rPr>
                <m:t>+</m:t>
              </m:r>
            </m:oMath>
            <w:r>
              <w:rPr>
                <w:b/>
                <w:bCs/>
              </w:rPr>
              <w:t xml:space="preserve">65M</w:t>
            </w:r>
            <w:r>
              <w:t xml:space="preserve">, with</w:t>
            </w:r>
            <w:r>
              <w:t xml:space="preserve"> </w:t>
            </w:r>
            <w:r>
              <w:rPr>
                <w:b/>
                <w:bCs/>
              </w:rPr>
              <w:t xml:space="preserve">no material ongoing impact</w:t>
            </w:r>
            <w:r>
              <w:t xml:space="preserve"> </w:t>
            </w:r>
            <w:r>
              <w:t xml:space="preserve">expected</w:t>
            </w:r>
          </w:p>
        </w:tc>
      </w:tr>
    </w:tbl>
    <w:p>
      <w:pPr>
        <w:pStyle w:val="BodyText"/>
      </w:pPr>
      <w:r>
        <w:t xml:space="preserve">The actuarial review is a recurring, second-quarter event for Prudential (done annually), so investors should treat the segment-level swings as largely mechanical/non-recurring rather than a read on core trends. The alternative-investment shortfall is the more organic negative — it suggests private equity/real estate/hedge-fund marks came in soft again, a theme that has pressured several insurers this cycle.</w:t>
      </w:r>
    </w:p>
    <w:bookmarkEnd w:id="10"/>
    <w:bookmarkStart w:id="11" w:name="X5d68b3ae1cde85b5b24327382fefeae5b22edff"/>
    <w:p>
      <w:pPr>
        <w:pStyle w:val="Heading2"/>
      </w:pPr>
      <w:r>
        <w:t xml:space="preserve">3. Segment Trends to Track (Building on Q1 Momentum)</w:t>
      </w:r>
    </w:p>
    <w:p>
      <w:pPr>
        <w:pStyle w:val="FirstParagraph"/>
      </w:pPr>
      <w:r>
        <w:t xml:space="preserve">Q1 2026 adjusted operating income was</w:t>
      </w:r>
      <w:r>
        <w:t xml:space="preserve"> </w:t>
      </w:r>
      <m:oMath>
        <m:r>
          <m:t>1.6</m:t>
        </m:r>
        <m:r>
          <m:t>b</m:t>
        </m:r>
        <m:r>
          <m:t>i</m:t>
        </m:r>
        <m:r>
          <m:t>l</m:t>
        </m:r>
        <m:r>
          <m:t>l</m:t>
        </m:r>
        <m:r>
          <m:t>i</m:t>
        </m:r>
        <m:r>
          <m:t>o</m:t>
        </m:r>
        <m:r>
          <m:t>n</m:t>
        </m:r>
        <m:r>
          <m:t>p</m:t>
        </m:r>
        <m:r>
          <m:t>r</m:t>
        </m:r>
        <m:r>
          <m:t>e</m:t>
        </m:r>
        <m:r>
          <m:rPr>
            <m:sty m:val="p"/>
          </m:rPr>
          <m:t>−</m:t>
        </m:r>
        <m:r>
          <m:t>t</m:t>
        </m:r>
        <m:r>
          <m:t>a</m:t>
        </m:r>
        <m:r>
          <m:t>x</m:t>
        </m:r>
        <m:r>
          <m:rPr>
            <m:sty m:val="p"/>
          </m:rPr>
          <m:t>(</m:t>
        </m:r>
      </m:oMath>
      <w:r>
        <w:t xml:space="preserve">3.61/share after-tax, +10% y/y), with an operating ROE near 15%. Segment dynamics investors should watch for continuation or reversal:</w:t>
      </w:r>
    </w:p>
    <w:p>
      <w:pPr>
        <w:pStyle w:val="Compact"/>
        <w:numPr>
          <w:ilvl w:val="0"/>
          <w:numId w:val="1001"/>
        </w:numPr>
      </w:pPr>
      <w:r>
        <w:rPr>
          <w:b/>
          <w:bCs/>
        </w:rPr>
        <w:t xml:space="preserve">PGIM:</w:t>
      </w:r>
      <w:r>
        <w:t xml:space="preserve"> </w:t>
      </w:r>
      <w:r>
        <w:t xml:space="preserve">Q1 AOI grew 22% y/y to</w:t>
      </w:r>
      <w:r>
        <w:t xml:space="preserve"> </w:t>
      </w:r>
      <m:oMath>
        <m:r>
          <m:t>190</m:t>
        </m:r>
        <m:r>
          <m:t>M</m:t>
        </m:r>
        <m:r>
          <m:t>o</m:t>
        </m:r>
        <m:r>
          <m:t>n</m:t>
        </m:r>
        <m:r>
          <m:t>h</m:t>
        </m:r>
        <m:r>
          <m:t>i</m:t>
        </m:r>
        <m:r>
          <m:t>g</m:t>
        </m:r>
        <m:r>
          <m:t>h</m:t>
        </m:r>
        <m:r>
          <m:t>e</m:t>
        </m:r>
        <m:r>
          <m:t>r</m:t>
        </m:r>
        <m:r>
          <m:t>f</m:t>
        </m:r>
        <m:r>
          <m:t>e</m:t>
        </m:r>
        <m:r>
          <m:t>e</m:t>
        </m:r>
        <m:r>
          <m:t>s</m:t>
        </m:r>
        <m:r>
          <m:t>a</m:t>
        </m:r>
        <m:r>
          <m:t>n</m:t>
        </m:r>
        <m:r>
          <m:t>d</m:t>
        </m:r>
        <m:r>
          <m:t>a</m:t>
        </m:r>
        <m:r>
          <m:t>g</m:t>
        </m:r>
        <m:r>
          <m:t>e</m:t>
        </m:r>
        <m:r>
          <m:t>n</m:t>
        </m:r>
        <m:r>
          <m:t>c</m:t>
        </m:r>
        <m:r>
          <m:t>y</m:t>
        </m:r>
        <m:r>
          <m:t>e</m:t>
        </m:r>
        <m:r>
          <m:t>a</m:t>
        </m:r>
        <m:r>
          <m:t>r</m:t>
        </m:r>
        <m:r>
          <m:t>n</m:t>
        </m:r>
        <m:r>
          <m:t>i</m:t>
        </m:r>
        <m:r>
          <m:t>n</m:t>
        </m:r>
        <m:r>
          <m:t>g</m:t>
        </m:r>
        <m:r>
          <m:t>s</m:t>
        </m:r>
        <m:r>
          <m:rPr>
            <m:sty m:val="p"/>
          </m:rPr>
          <m:t>;</m:t>
        </m:r>
        <m:r>
          <m:t>m</m:t>
        </m:r>
        <m:r>
          <m:t>a</m:t>
        </m:r>
        <m:r>
          <m:t>r</m:t>
        </m:r>
        <m:r>
          <m:t>g</m:t>
        </m:r>
        <m:r>
          <m:t>i</m:t>
        </m:r>
        <m:r>
          <m:t>n</m:t>
        </m:r>
        <m:r>
          <m:t>e</m:t>
        </m:r>
        <m:r>
          <m:t>x</m:t>
        </m:r>
        <m:r>
          <m:t>p</m:t>
        </m:r>
        <m:r>
          <m:t>a</m:t>
        </m:r>
        <m:r>
          <m:t>n</m:t>
        </m:r>
        <m:r>
          <m:t>d</m:t>
        </m:r>
        <m:r>
          <m:t>e</m:t>
        </m:r>
        <m:r>
          <m:t>d</m:t>
        </m:r>
        <m:r>
          <m:t>t</m:t>
        </m:r>
        <m:r>
          <m:t>o</m:t>
        </m:r>
        <m:r>
          <m:t>19.1</m:t>
        </m:r>
      </m:oMath>
      <w:r>
        <w:t xml:space="preserve">100M of gross run-rate savings and 200+bps of margin expansion in 2026 toward a 25–30% margin target. Flows have been inflecting positively (third-party net inflows of ~$1.8B in Q1) even as active equity outflows persist industry-wide. Private credit/asset-backed finance and the active-ETF platform (nearly $30B AUM, almost doubling y/y) remain the standout growth engines.</w:t>
      </w:r>
    </w:p>
    <w:p>
      <w:pPr>
        <w:pStyle w:val="Compact"/>
        <w:numPr>
          <w:ilvl w:val="0"/>
          <w:numId w:val="1001"/>
        </w:numPr>
      </w:pPr>
      <w:r>
        <w:rPr>
          <w:b/>
          <w:bCs/>
        </w:rPr>
        <w:t xml:space="preserve">Retirement:</w:t>
      </w:r>
      <w:r>
        <w:t xml:space="preserve"> </w:t>
      </w:r>
      <w:r>
        <w:t xml:space="preserve">Strong momentum — Q1 AOI of $572M (+9% y/y), record RILA sales behind the new FlexGuard 2.0 product, and $1.4B of pension-risk-transfer activity. Management expects PRT demand to strengthen in the second half, consistent with historical seasonality, while flagging a "very competitive" RILA pricing environment.</w:t>
      </w:r>
    </w:p>
    <w:p>
      <w:pPr>
        <w:pStyle w:val="Compact"/>
        <w:numPr>
          <w:ilvl w:val="0"/>
          <w:numId w:val="1001"/>
        </w:numPr>
      </w:pPr>
      <w:r>
        <w:rPr>
          <w:b/>
          <w:bCs/>
        </w:rPr>
        <w:t xml:space="preserve">Group Insurance:</w:t>
      </w:r>
      <w:r>
        <w:t xml:space="preserve"> </w:t>
      </w:r>
      <w:r>
        <w:t xml:space="preserve">The one clear soft spot — Q1 AOI fell to $38M from $89M a year ago (which had benefited from a one-time reserve refinement) as disability claims incidence/severity normalized amid macro uncertainty; the total benefits ratio rose to 83.7%, still within the 83–87% target range. Watch whether disability trends continue to stabilize sequentially.</w:t>
      </w:r>
    </w:p>
    <w:p>
      <w:pPr>
        <w:pStyle w:val="Compact"/>
        <w:numPr>
          <w:ilvl w:val="0"/>
          <w:numId w:val="1001"/>
        </w:numPr>
      </w:pPr>
      <w:r>
        <w:rPr>
          <w:b/>
          <w:bCs/>
        </w:rPr>
        <w:t xml:space="preserve">Individual Life:</w:t>
      </w:r>
      <w:r>
        <w:t xml:space="preserve"> </w:t>
      </w:r>
      <w:r>
        <w:t xml:space="preserve">More than doubled to $139M in Q1 on favorable mortality, with record sales; re-segmentation (moving legacy GUL out) has made this business's improved returns more visible.</w:t>
      </w:r>
    </w:p>
    <w:p>
      <w:pPr>
        <w:pStyle w:val="Compact"/>
        <w:numPr>
          <w:ilvl w:val="0"/>
          <w:numId w:val="1001"/>
        </w:numPr>
      </w:pPr>
      <w:r>
        <w:rPr>
          <w:b/>
          <w:bCs/>
        </w:rPr>
        <w:t xml:space="preserve">U.S. Legacy Products (new segment):</w:t>
      </w:r>
      <w:r>
        <w:t xml:space="preserve"> </w:t>
      </w:r>
      <w:r>
        <w:t xml:space="preserve">Contains run-off variable annuities and GUL; Q1 AOI fell 22% y/y on continued fee run-off. GUL reserves remain in a GAAP-loss-generating build phase that management says will reverse over the long term, but this is a recurring analyst question (reserve adequacy, loss-recognition testing).</w:t>
      </w:r>
    </w:p>
    <w:p>
      <w:pPr>
        <w:pStyle w:val="Compact"/>
        <w:numPr>
          <w:ilvl w:val="0"/>
          <w:numId w:val="1001"/>
        </w:numPr>
      </w:pPr>
      <w:r>
        <w:rPr>
          <w:b/>
          <w:bCs/>
        </w:rPr>
        <w:t xml:space="preserve">International/Japan:</w:t>
      </w:r>
      <w:r>
        <w:t xml:space="preserve"> </w:t>
      </w:r>
      <w:r>
        <w:t xml:space="preserve">The headline risk. POJ's voluntary sales suspension was extended through</w:t>
      </w:r>
      <w:r>
        <w:t xml:space="preserve"> </w:t>
      </w:r>
      <w:r>
        <w:rPr>
          <w:b/>
          <w:bCs/>
        </w:rPr>
        <w:t xml:space="preserve">November 5, 2026</w:t>
      </w:r>
      <w:r>
        <w:t xml:space="preserve">. Management guided to a</w:t>
      </w:r>
      <w:r>
        <w:t xml:space="preserve"> </w:t>
      </w:r>
      <w:r>
        <w:rPr>
          <w:b/>
          <w:bCs/>
        </w:rPr>
        <w:t xml:space="preserve">$525–575 million aggregate 2026 pretax AOI hit</w:t>
      </w:r>
      <w:r>
        <w:t xml:space="preserve">, with Q1's $130 million impact "in line" but expected to grow through the year since costs (Life Planner compensation, lower sales/higher surrenders) build cumulatively while suspension lasts longer. In-force earnings — which represent ~90% of POJ profit — are expected down 10% in year one and 15% cumulatively by year two. Encouragingly, Life Planner attrition has stayed roughly flat and management does not expect material capital, ESR, or cash-flow impact through 2027. Brazil remains a bright spot with record earnings.</w:t>
      </w:r>
    </w:p>
    <w:bookmarkEnd w:id="11"/>
    <w:bookmarkStart w:id="12" w:name="X3727e0096ce1c0117f98a2547a17d7f8d499b13"/>
    <w:p>
      <w:pPr>
        <w:pStyle w:val="Heading2"/>
      </w:pPr>
      <w:r>
        <w:t xml:space="preserve">4. The Japan Overhang: Two Separate Issues</w:t>
      </w:r>
    </w:p>
    <w:p>
      <w:pPr>
        <w:pStyle w:val="FirstParagraph"/>
      </w:pPr>
      <w:r>
        <w:t xml:space="preserve">Investors should distinguish between:</w:t>
      </w:r>
    </w:p>
    <w:p>
      <w:pPr>
        <w:pStyle w:val="Compact"/>
        <w:numPr>
          <w:ilvl w:val="0"/>
          <w:numId w:val="1002"/>
        </w:numPr>
      </w:pPr>
      <w:r>
        <w:rPr>
          <w:b/>
          <w:bCs/>
        </w:rPr>
        <w:t xml:space="preserve">The financial/operational sales suspension</w:t>
      </w:r>
      <w:r>
        <w:t xml:space="preserve"> </w:t>
      </w:r>
      <w:r>
        <w:t xml:space="preserve">at Prudential of Japan (quantified above, embedded in guidance), and</w:t>
      </w:r>
    </w:p>
    <w:p>
      <w:pPr>
        <w:pStyle w:val="Compact"/>
        <w:numPr>
          <w:ilvl w:val="0"/>
          <w:numId w:val="1002"/>
        </w:numPr>
      </w:pPr>
      <w:r>
        <w:rPr>
          <w:b/>
          <w:bCs/>
        </w:rPr>
        <w:t xml:space="preserve">The customer-reimbursement/misconduct remediation process</w:t>
      </w:r>
      <w:r>
        <w:t xml:space="preserve"> </w:t>
      </w:r>
      <w:r>
        <w:t xml:space="preserve">at Prudential Life and Gibraltar Life, which the company updates quarterly. As of the July 24 update, of the 498 individuals originally flagged (¥3.08 billion in claims), review or reimbursement had been completed for 437 individuals (¥2.85 billion), with the independent Customer Reimbursement Committee continuing to process a steady stream of new inquiries. This is a slow-moving governance/reputational issue rather than a fresh financial shock, but continued negative headlines (secondment issues, additional inquiries) remain a risk to watch.</w:t>
      </w:r>
    </w:p>
    <w:bookmarkEnd w:id="12"/>
    <w:bookmarkStart w:id="13" w:name="X4a53f4481a96bd1dd56c9a0fa598f8d3980444b"/>
    <w:p>
      <w:pPr>
        <w:pStyle w:val="Heading2"/>
      </w:pPr>
      <w:r>
        <w:t xml:space="preserve">5. The Big Wildcard: Strategy Update</w:t>
      </w:r>
    </w:p>
    <w:p>
      <w:pPr>
        <w:pStyle w:val="FirstParagraph"/>
      </w:pPr>
      <w:r>
        <w:t xml:space="preserve">On the Q1 call, CEO Andy Sullivan explicitly teased that management would use the Q2 call to lay out more detail on Prudential's long-term vision and capital allocation shift, following early portfolio moves (divestitures of PGIM's Taiwan and India operations and insurance units in Kenya and Indonesia). Sullivan framed these early exits as only the beginning of a "business mix shift," emphasizing a "simpler company" concentrated on retirement and asset management. Investors should listen for:</w:t>
      </w:r>
    </w:p>
    <w:p>
      <w:pPr>
        <w:pStyle w:val="Compact"/>
        <w:numPr>
          <w:ilvl w:val="0"/>
          <w:numId w:val="1003"/>
        </w:numPr>
      </w:pPr>
      <w:r>
        <w:t xml:space="preserve">Any new medium-term financial targets or capital-return framework</w:t>
      </w:r>
    </w:p>
    <w:p>
      <w:pPr>
        <w:pStyle w:val="Compact"/>
        <w:numPr>
          <w:ilvl w:val="0"/>
          <w:numId w:val="1003"/>
        </w:numPr>
      </w:pPr>
      <w:r>
        <w:t xml:space="preserve">Further portfolio pruning (additional market exits) or M&amp;A</w:t>
      </w:r>
    </w:p>
    <w:p>
      <w:pPr>
        <w:pStyle w:val="Compact"/>
        <w:numPr>
          <w:ilvl w:val="0"/>
          <w:numId w:val="1003"/>
        </w:numPr>
      </w:pPr>
      <w:r>
        <w:t xml:space="preserve">Updated views on expense efficiency (targeted savings flagged for 2027) and the $135M restructuring charge taken previously (expected to yield $150M of 2027 run-rate savings)</w:t>
      </w:r>
    </w:p>
    <w:bookmarkEnd w:id="13"/>
    <w:bookmarkStart w:id="14" w:name="Xde5b7373e7be0be4985b13a6c8e86768e113002"/>
    <w:p>
      <w:pPr>
        <w:pStyle w:val="Heading2"/>
      </w:pPr>
      <w:r>
        <w:t xml:space="preserve">6. Capital, Balance Sheet &amp; Shareholder Return</w:t>
      </w:r>
    </w:p>
    <w:p>
      <w:pPr>
        <w:pStyle w:val="FirstParagraph"/>
      </w:pPr>
      <w:r>
        <w:t xml:space="preserve">Prudential entered the year with solid capital metrics: ESR estimated at 170–190% (well above its 150% operating target), $3.7 billion of parent liquidity (above the $3B minimum), adjusted book value per share of $99.79 (+3.5% y/y), and Q1 capital return of</w:t>
      </w:r>
      <w:r>
        <w:t xml:space="preserve"> </w:t>
      </w:r>
      <m:oMath>
        <m:r>
          <m:t>746</m:t>
        </m:r>
        <m:r>
          <m:t>m</m:t>
        </m:r>
        <m:r>
          <m:t>i</m:t>
        </m:r>
        <m:r>
          <m:t>l</m:t>
        </m:r>
        <m:r>
          <m:t>l</m:t>
        </m:r>
        <m:r>
          <m:t>i</m:t>
        </m:r>
        <m:r>
          <m:t>o</m:t>
        </m:r>
        <m:r>
          <m:t>n</m:t>
        </m:r>
        <m:r>
          <m:rPr>
            <m:sty m:val="p"/>
          </m:rPr>
          <m:t>(</m:t>
        </m:r>
      </m:oMath>
      <w:r>
        <w:t xml:space="preserve">250M buybacks + $496M dividends, a &gt;5% yield on adjusted book value). Management also cut its full-year 2026 effective tax rate guidance to 21–22% from 23–24%, partly reflecting lower Japan earnings and portfolio repositioning — a modest EPS tailwind that should still be in effect this quarter.</w:t>
      </w:r>
    </w:p>
    <w:bookmarkEnd w:id="14"/>
    <w:bookmarkStart w:id="15" w:name="X9a13dcfb801690c5b905061d0d8716d32579db7"/>
    <w:p>
      <w:pPr>
        <w:pStyle w:val="Heading2"/>
      </w:pPr>
      <w:r>
        <w:t xml:space="preserve">7. Valuation &amp; Setup</w:t>
      </w:r>
    </w:p>
    <w:p>
      <w:pPr>
        <w:pStyle w:val="FirstParagraph"/>
      </w:pPr>
      <w:r>
        <w:t xml:space="preserve">At ~</w:t>
      </w:r>
      <m:oMath>
        <m:r>
          <m:t>124</m:t>
        </m:r>
        <m:r>
          <m:rPr>
            <m:sty m:val="p"/>
          </m:rPr>
          <m:t>/</m:t>
        </m:r>
        <m:r>
          <m:t>s</m:t>
        </m:r>
        <m:r>
          <m:t>h</m:t>
        </m:r>
        <m:r>
          <m:t>a</m:t>
        </m:r>
        <m:r>
          <m:t>r</m:t>
        </m:r>
        <m:r>
          <m:t>e</m:t>
        </m:r>
        <m:r>
          <m:rPr>
            <m:sty m:val="p"/>
          </m:rPr>
          <m:t>(</m:t>
        </m:r>
        <m:r>
          <m:t> </m:t>
        </m:r>
      </m:oMath>
      <w:r>
        <w:t xml:space="preserve">40 billion market cap), PRU trades around</w:t>
      </w:r>
      <w:r>
        <w:t xml:space="preserve"> </w:t>
      </w:r>
      <w:r>
        <w:rPr>
          <w:b/>
          <w:bCs/>
        </w:rPr>
        <w:t xml:space="preserve">9x</w:t>
      </w:r>
      <w:r>
        <w:t xml:space="preserve"> </w:t>
      </w:r>
      <w:r>
        <w:t xml:space="preserve">the 2026 consensus adjusted EPS estimate of $13.81 and roughly</w:t>
      </w:r>
      <w:r>
        <w:t xml:space="preserve"> </w:t>
      </w:r>
      <w:r>
        <w:rPr>
          <w:b/>
          <w:bCs/>
        </w:rPr>
        <w:t xml:space="preserve">8.5x</w:t>
      </w:r>
      <w:r>
        <w:t xml:space="preserve"> </w:t>
      </w:r>
      <w:r>
        <w:t xml:space="preserve">2027's $14.67 estimate — a discount reflecting the Japan uncertainty and a below-trend 2026 earnings year. The stock's 52-week return (~9%) has lagged the S&amp;P 500 but modestly outpaced financial-sector peers, and shares have rallied hard into the print, which raises the bar for a "clean beat" reaction. With a Fed policy decision also in view this week (markets pricing roughly a one-third chance of a rate move), the rate backdrop is a live swing factor for spread-based Retirement and Legacy Products earnings.</w:t>
      </w:r>
    </w:p>
    <w:bookmarkEnd w:id="15"/>
    <w:bookmarkStart w:id="16" w:name="X7fc25990fd150a14fd861d267aaf41fc2138aa6"/>
    <w:p>
      <w:pPr>
        <w:pStyle w:val="Heading2"/>
      </w:pPr>
      <w:r>
        <w:t xml:space="preserve">8. Bottom Line — What to Watch on the Call</w:t>
      </w:r>
    </w:p>
    <w:p>
      <w:pPr>
        <w:pStyle w:val="Compact"/>
        <w:numPr>
          <w:ilvl w:val="0"/>
          <w:numId w:val="1004"/>
        </w:numPr>
      </w:pPr>
      <w:r>
        <w:rPr>
          <w:b/>
          <w:bCs/>
        </w:rPr>
        <w:t xml:space="preserve">Core EPS vs. the pre-announced puts and takes</w:t>
      </w:r>
      <w:r>
        <w:t xml:space="preserve"> </w:t>
      </w:r>
      <w:r>
        <w:t xml:space="preserve">— does underlying (ex-actuarial, ex-alts shortfall) performance in PGIM, Retirement, and Individual Life confirm the positive trajectory seen in Q1?</w:t>
      </w:r>
    </w:p>
    <w:p>
      <w:pPr>
        <w:pStyle w:val="Compact"/>
        <w:numPr>
          <w:ilvl w:val="0"/>
          <w:numId w:val="1004"/>
        </w:numPr>
      </w:pPr>
      <w:r>
        <w:rPr>
          <w:b/>
          <w:bCs/>
        </w:rPr>
        <w:t xml:space="preserve">Group Insurance disability trends</w:t>
      </w:r>
      <w:r>
        <w:t xml:space="preserve"> </w:t>
      </w:r>
      <w:r>
        <w:t xml:space="preserve">— stabilizing or still normalizing lower?</w:t>
      </w:r>
    </w:p>
    <w:p>
      <w:pPr>
        <w:pStyle w:val="Compact"/>
        <w:numPr>
          <w:ilvl w:val="0"/>
          <w:numId w:val="1004"/>
        </w:numPr>
      </w:pPr>
      <w:r>
        <w:rPr>
          <w:b/>
          <w:bCs/>
        </w:rPr>
        <w:t xml:space="preserve">POJ trajectory</w:t>
      </w:r>
      <w:r>
        <w:t xml:space="preserve"> </w:t>
      </w:r>
      <w:r>
        <w:t xml:space="preserve">— is the cost run-rate tracking the $525–575M full-year guide, and any update on the November 5 suspension timeline or Life Planner retention?</w:t>
      </w:r>
    </w:p>
    <w:p>
      <w:pPr>
        <w:pStyle w:val="Compact"/>
        <w:numPr>
          <w:ilvl w:val="0"/>
          <w:numId w:val="1004"/>
        </w:numPr>
      </w:pPr>
      <w:r>
        <w:rPr>
          <w:b/>
          <w:bCs/>
        </w:rPr>
        <w:t xml:space="preserve">Strategy reveal</w:t>
      </w:r>
      <w:r>
        <w:t xml:space="preserve"> </w:t>
      </w:r>
      <w:r>
        <w:t xml:space="preserve">— new targets, further divestitures, and capital allocation priorities could be the biggest share-price driver, independent of the quarter's numbers.</w:t>
      </w:r>
    </w:p>
    <w:p>
      <w:pPr>
        <w:pStyle w:val="Compact"/>
        <w:numPr>
          <w:ilvl w:val="0"/>
          <w:numId w:val="1004"/>
        </w:numPr>
      </w:pPr>
      <w:r>
        <w:rPr>
          <w:b/>
          <w:bCs/>
        </w:rPr>
        <w:t xml:space="preserve">Capital return pace</w:t>
      </w:r>
      <w:r>
        <w:t xml:space="preserve"> </w:t>
      </w:r>
      <w:r>
        <w:t xml:space="preserve">— buybacks were modest in Q1 ($250M); watch for any change in cadence given the stock's recent strength and the tax-rate tailwind.</w:t>
      </w:r>
    </w:p>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2026-07-29T02:19:29Z</dcterms:created>
  <dcterms:modified xsi:type="dcterms:W3CDTF">2026-07-29T02:19:29Z</dcterms:modified>
</cp:coreProperties>
</file>

<file path=docProps/custom.xml><?xml version="1.0" encoding="utf-8"?>
<Properties xmlns="http://schemas.openxmlformats.org/officeDocument/2006/custom-properties" xmlns:vt="http://schemas.openxmlformats.org/officeDocument/2006/docPropsVTypes"/>
</file>