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ru-earnings-predictions--2026-07-29"/>
    <w:p>
      <w:pPr>
        <w:pStyle w:val="Heading1"/>
      </w:pPr>
      <w:r>
        <w:t xml:space="preserve">PRU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~$3.58 vs. cons $3.50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PGIM adjusted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~$225m vs. cons $215m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International Businesses adjusted operating income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~$790m vs. cons $805m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Prudential of Japan pretax AOI drag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~$550m drag vs. cons $550m drag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adjusted operating ROE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~16.5% vs. cons 15.0% (2028)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PGIM adjusted operating margin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~26% vs. cons 25% (2028)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PRU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+0.7% (FADE)</w:t>
            </w:r>
          </w:p>
        </w:tc>
        <w:tc>
          <w:tcPr/>
          <w:p>
            <w:pPr>
              <w:pStyle w:val="Compact"/>
            </w:pPr>
            <w:r>
              <w:t xml:space="preserve">Residual fades from ~+1.6% on day 1 to ~+0.7% by day 5 because the EPS upside is largely driven by preannounced actuarial items, while an unchanged ~$550m FY2026 Japan drag and gradual 2027 sales recovery limit near-term estimate revisions.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2026-07-29T02:20:15Z</dcterms:created>
  <dcterms:modified xsi:type="dcterms:W3CDTF">2026-07-29T02:20:15Z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