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3f29691a32d54a2f57d17d46bd6c6001e787cf"/>
    <w:p>
      <w:pPr>
        <w:pStyle w:val="Heading1"/>
      </w:pPr>
      <w:r>
        <w:t xml:space="preserve">PRU Earnings Preview: Strategy and Japan Matter More Than the Headline EPS</w:t>
      </w:r>
    </w:p>
    <w:p>
      <w:pPr>
        <w:pStyle w:val="BlockText"/>
      </w:pPr>
      <w:r>
        <w:rPr>
          <w:b/>
          <w:bCs/>
        </w:rPr>
        <w:t xml:space="preserve">Scheduling correction:</w:t>
      </w:r>
      <w:r>
        <w:t xml:space="preserve"> </w:t>
      </w:r>
      <w:r>
        <w:t xml:space="preserve">Prudential Financial is</w:t>
      </w:r>
      <w:r>
        <w:t xml:space="preserve"> </w:t>
      </w:r>
      <w:r>
        <w:rPr>
          <w:b/>
          <w:bCs/>
        </w:rPr>
        <w:t xml:space="preserve">not</w:t>
      </w:r>
      <w:r>
        <w:t xml:space="preserve"> </w:t>
      </w:r>
      <w:r>
        <w:t xml:space="preserve">reporting on July 29 or July 30, and this is not a “2026Q4” event. PRU will release</w:t>
      </w:r>
      <w:r>
        <w:t xml:space="preserve"> </w:t>
      </w:r>
      <w:r>
        <w:rPr>
          <w:b/>
          <w:bCs/>
        </w:rPr>
        <w:t xml:space="preserve">second-quarter 2026</w:t>
      </w:r>
      <w:r>
        <w:t xml:space="preserve"> </w:t>
      </w:r>
      <w:r>
        <w:t xml:space="preserve">results on</w:t>
      </w:r>
      <w:r>
        <w:t xml:space="preserve"> </w:t>
      </w:r>
      <w:r>
        <w:rPr>
          <w:b/>
          <w:bCs/>
        </w:rPr>
        <w:t xml:space="preserve">Tuesday, August 4, 2026, after the market closes</w:t>
      </w:r>
      <w:r>
        <w:t xml:space="preserve">, followed by an extended earnings and strategy call on</w:t>
      </w:r>
      <w:r>
        <w:t xml:space="preserve"> </w:t>
      </w:r>
      <w:r>
        <w:rPr>
          <w:b/>
          <w:bCs/>
        </w:rPr>
        <w:t xml:space="preserve">Wednesday, August 5, at 11:00 a.m. ET</w:t>
      </w:r>
      <w:r>
        <w:t xml:space="preserve">. (</w:t>
      </w:r>
      <w:hyperlink r:id="rId9">
        <w:r>
          <w:rPr>
            <w:rStyle w:val="Hyperlink"/>
          </w:rPr>
          <w:t xml:space="preserve">investor.prudential.com</w:t>
        </w:r>
      </w:hyperlink>
      <w:r>
        <w:t xml:space="preserve">)</w:t>
      </w:r>
    </w:p>
    <w:bookmarkStart w:id="10" w:name="investment-view-going-into-the-report"/>
    <w:p>
      <w:pPr>
        <w:pStyle w:val="Heading2"/>
      </w:pPr>
      <w:r>
        <w:t xml:space="preserve">Investment view going into the report</w:t>
      </w:r>
    </w:p>
    <w:p>
      <w:pPr>
        <w:pStyle w:val="FirstParagraph"/>
      </w:pPr>
      <w:r>
        <w:t xml:space="preserve">This will be more than a routine quarterly update. Prudential has already preannounced several important second-quarter items, limiting the informational value of a simple adjusted-EPS beat or miss. The larger catalysts will be:</w:t>
      </w:r>
    </w:p>
    <w:p>
      <w:pPr>
        <w:pStyle w:val="Compact"/>
        <w:numPr>
          <w:ilvl w:val="0"/>
          <w:numId w:val="1001"/>
        </w:numPr>
      </w:pPr>
      <w:r>
        <w:rPr>
          <w:b/>
          <w:bCs/>
        </w:rPr>
        <w:t xml:space="preserve">Whether the financial and reputational damage in Japan remains contained.</w:t>
      </w:r>
    </w:p>
    <w:p>
      <w:pPr>
        <w:pStyle w:val="Compact"/>
        <w:numPr>
          <w:ilvl w:val="0"/>
          <w:numId w:val="1001"/>
        </w:numPr>
      </w:pPr>
      <w:r>
        <w:rPr>
          <w:b/>
          <w:bCs/>
        </w:rPr>
        <w:t xml:space="preserve">Management’s promised strategy and long-term vision.</w:t>
      </w:r>
    </w:p>
    <w:p>
      <w:pPr>
        <w:pStyle w:val="Compact"/>
        <w:numPr>
          <w:ilvl w:val="0"/>
          <w:numId w:val="1001"/>
        </w:numPr>
      </w:pPr>
      <w:r>
        <w:rPr>
          <w:b/>
          <w:bCs/>
        </w:rPr>
        <w:t xml:space="preserve">Evidence that PGIM and Retirement can become stronger, more consistent growth engines.</w:t>
      </w:r>
    </w:p>
    <w:p>
      <w:pPr>
        <w:pStyle w:val="Compact"/>
        <w:numPr>
          <w:ilvl w:val="0"/>
          <w:numId w:val="1001"/>
        </w:numPr>
      </w:pPr>
      <w:r>
        <w:rPr>
          <w:b/>
          <w:bCs/>
        </w:rPr>
        <w:t xml:space="preserve">Whether capital returns remain intact despite the Japan remediation costs.</w:t>
      </w:r>
    </w:p>
    <w:p>
      <w:pPr>
        <w:pStyle w:val="FirstParagraph"/>
      </w:pPr>
      <w:r>
        <w:t xml:space="preserve">The most favorable outcome would combine stable underlying earnings, no deterioration in the Japan outlook, measurable strategic targets and continued capital return. Conversely, any extension of the Japan sales suspension or a vague strategy presentation could outweigh an otherwise respectable quarter.</w:t>
      </w:r>
    </w:p>
    <w:p>
      <w:r>
        <w:pict>
          <v:rect style="width:0;height:1.5pt" o:hralign="center" o:hrstd="t" o:hr="t"/>
        </w:pict>
      </w:r>
    </w:p>
    <w:bookmarkEnd w:id="10"/>
    <w:bookmarkStart w:id="12" w:name="what-pru-has-already-disclosed"/>
    <w:p>
      <w:pPr>
        <w:pStyle w:val="Heading2"/>
      </w:pPr>
      <w:r>
        <w:t xml:space="preserve">What PRU has already disclosed</w:t>
      </w:r>
    </w:p>
    <w:p>
      <w:pPr>
        <w:pStyle w:val="FirstParagraph"/>
      </w:pPr>
      <w:r>
        <w:t xml:space="preserve">Prudential’s July 15 filing substantially de-risked some of the quarter’s moving parts: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Preannounced item</w:t>
            </w:r>
          </w:p>
        </w:tc>
        <w:tc>
          <w:tcPr/>
          <w:p>
            <w:pPr>
              <w:pStyle w:val="Compact"/>
              <w:jc w:val="right"/>
            </w:pPr>
            <w:r>
              <w:t xml:space="preserve">Q2 disclosure</w:t>
            </w:r>
          </w:p>
        </w:tc>
        <w:tc>
          <w:tcPr/>
          <w:p>
            <w:pPr>
              <w:pStyle w:val="Compact"/>
            </w:pPr>
            <w:r>
              <w:t xml:space="preserve">Investor interpretation</w:t>
            </w:r>
          </w:p>
        </w:tc>
      </w:tr>
      <w:tr>
        <w:tc>
          <w:tcPr/>
          <w:p>
            <w:pPr>
              <w:pStyle w:val="Compact"/>
            </w:pPr>
            <w:r>
              <w:t xml:space="preserve">PGIM assets under management</w:t>
            </w:r>
          </w:p>
        </w:tc>
        <w:tc>
          <w:tcPr/>
          <w:p>
            <w:pPr>
              <w:pStyle w:val="Compact"/>
              <w:jc w:val="right"/>
            </w:pPr>
            <w:r>
              <w:rPr>
                <w:b/>
                <w:bCs/>
              </w:rPr>
              <w:t xml:space="preserve">$1.49 trillion</w:t>
            </w:r>
          </w:p>
        </w:tc>
        <w:tc>
          <w:tcPr/>
          <w:p>
            <w:pPr>
              <w:pStyle w:val="Compact"/>
            </w:pPr>
            <w:r>
              <w:t xml:space="preserve">Positive versus $1.433 trillion at March 31; likely supported by markets and investment performance</w:t>
            </w:r>
          </w:p>
        </w:tc>
      </w:tr>
      <w:tr>
        <w:tc>
          <w:tcPr/>
          <w:p>
            <w:pPr>
              <w:pStyle w:val="Compact"/>
            </w:pPr>
            <w:r>
              <w:t xml:space="preserve">PGIM other related revenues, net</w:t>
            </w:r>
          </w:p>
        </w:tc>
        <w:tc>
          <w:tcPr/>
          <w:p>
            <w:pPr>
              <w:pStyle w:val="Compact"/>
              <w:jc w:val="right"/>
            </w:pPr>
            <w:r>
              <w:rPr>
                <w:b/>
                <w:bCs/>
              </w:rPr>
              <w:t xml:space="preserve">Approximately $60 million</w:t>
            </w:r>
          </w:p>
        </w:tc>
        <w:tc>
          <w:tcPr/>
          <w:p>
            <w:pPr>
              <w:pStyle w:val="Compact"/>
            </w:pPr>
            <w:r>
              <w:t xml:space="preserve">A reasonable contribution from incentive fees, transactions, mortgage originations and investment activity</w:t>
            </w:r>
          </w:p>
        </w:tc>
      </w:tr>
      <w:tr>
        <w:tc>
          <w:tcPr/>
          <w:p>
            <w:pPr>
              <w:pStyle w:val="Compact"/>
            </w:pPr>
            <w:r>
              <w:t xml:space="preserve">General-account alternative investment income</w:t>
            </w:r>
          </w:p>
        </w:tc>
        <w:tc>
          <w:tcPr/>
          <w:p>
            <w:pPr>
              <w:pStyle w:val="Compact"/>
              <w:jc w:val="right"/>
            </w:pPr>
            <m:oMath>
              <m:r>
                <m:t>20</m:t>
              </m:r>
              <m:r>
                <m:t>m</m:t>
              </m:r>
              <m:r>
                <m:t>i</m:t>
              </m:r>
              <m:r>
                <m:t>l</m:t>
              </m:r>
              <m:r>
                <m:t>l</m:t>
              </m:r>
              <m:r>
                <m:t>i</m:t>
              </m:r>
              <m:r>
                <m:t>o</m:t>
              </m:r>
              <m:r>
                <m:t>n</m:t>
              </m:r>
              <m:r>
                <m:rPr>
                  <m:sty m:val="p"/>
                </m:rPr>
                <m:t>–</m:t>
              </m:r>
            </m:oMath>
            <w:r>
              <w:rPr>
                <w:b/>
                <w:bCs/>
              </w:rPr>
              <w:t xml:space="preserve">40 million below expectations</w:t>
            </w:r>
          </w:p>
        </w:tc>
        <w:tc>
          <w:tcPr/>
          <w:p>
            <w:pPr>
              <w:pStyle w:val="Compact"/>
            </w:pPr>
            <w:r>
              <w:t xml:space="preserve">A modest drag to underlying earnings</w:t>
            </w:r>
          </w:p>
        </w:tc>
      </w:tr>
      <w:tr>
        <w:tc>
          <w:tcPr/>
          <w:p>
            <w:pPr>
              <w:pStyle w:val="Compact"/>
            </w:pPr>
            <w:r>
              <w:t xml:space="preserve">Retirement assumption update</w:t>
            </w:r>
          </w:p>
        </w:tc>
        <w:tc>
          <w:tcPr/>
          <w:p>
            <w:pPr>
              <w:pStyle w:val="Compact"/>
              <w:jc w:val="right"/>
            </w:pPr>
            <w:r>
              <w:rPr>
                <w:b/>
                <w:bCs/>
              </w:rPr>
              <w:t xml:space="preserve">$(90) million</w:t>
            </w:r>
            <w:r>
              <w:t xml:space="preserve"> </w:t>
            </w:r>
            <w:r>
              <w:t xml:space="preserve">pre-tax AOI</w:t>
            </w:r>
          </w:p>
        </w:tc>
        <w:tc>
          <w:tcPr/>
          <w:p>
            <w:pPr>
              <w:pStyle w:val="Compact"/>
            </w:pPr>
            <w:r>
              <w:t xml:space="preserve">Negative but explicitly one-time</w:t>
            </w:r>
          </w:p>
        </w:tc>
      </w:tr>
      <w:tr>
        <w:tc>
          <w:tcPr/>
          <w:p>
            <w:pPr>
              <w:pStyle w:val="Compact"/>
            </w:pPr>
            <w:r>
              <w:t xml:space="preserve">International assumption update</w:t>
            </w:r>
          </w:p>
        </w:tc>
        <w:tc>
          <w:tcPr/>
          <w:p>
            <w:pPr>
              <w:pStyle w:val="Compact"/>
              <w:jc w:val="right"/>
            </w:pPr>
            <w:r>
              <w:rPr>
                <w:b/>
                <w:bCs/>
              </w:rPr>
              <w:t xml:space="preserve">+$80 million</w:t>
            </w:r>
          </w:p>
        </w:tc>
        <w:tc>
          <w:tcPr/>
          <w:p>
            <w:pPr>
              <w:pStyle w:val="Compact"/>
            </w:pPr>
            <w:r>
              <w:t xml:space="preserve">Largely offsets Retirement</w:t>
            </w:r>
          </w:p>
        </w:tc>
      </w:tr>
      <w:tr>
        <w:tc>
          <w:tcPr/>
          <w:p>
            <w:pPr>
              <w:pStyle w:val="Compact"/>
            </w:pPr>
            <w:r>
              <w:t xml:space="preserve">Group Insurance assumption update</w:t>
            </w:r>
          </w:p>
        </w:tc>
        <w:tc>
          <w:tcPr/>
          <w:p>
            <w:pPr>
              <w:pStyle w:val="Compact"/>
              <w:jc w:val="right"/>
            </w:pPr>
            <w:r>
              <w:rPr>
                <w:b/>
                <w:bCs/>
              </w:rPr>
              <w:t xml:space="preserve">+$30 million</w:t>
            </w:r>
          </w:p>
        </w:tc>
        <w:tc>
          <w:tcPr/>
          <w:p>
            <w:pPr>
              <w:pStyle w:val="Compact"/>
            </w:pPr>
            <w:r>
              <w:t xml:space="preserve">Positive</w:t>
            </w:r>
          </w:p>
        </w:tc>
      </w:tr>
      <w:tr>
        <w:tc>
          <w:tcPr/>
          <w:p>
            <w:pPr>
              <w:pStyle w:val="Compact"/>
            </w:pPr>
            <w:r>
              <w:t xml:space="preserve">Individual Life assumption update</w:t>
            </w:r>
          </w:p>
        </w:tc>
        <w:tc>
          <w:tcPr/>
          <w:p>
            <w:pPr>
              <w:pStyle w:val="Compact"/>
              <w:jc w:val="right"/>
            </w:pPr>
            <w:r>
              <w:rPr>
                <w:b/>
                <w:bCs/>
              </w:rPr>
              <w:t xml:space="preserve">+$30 million</w:t>
            </w:r>
          </w:p>
        </w:tc>
        <w:tc>
          <w:tcPr/>
          <w:p>
            <w:pPr>
              <w:pStyle w:val="Compact"/>
            </w:pPr>
            <w:r>
              <w:t xml:space="preserve">Positive</w:t>
            </w:r>
          </w:p>
        </w:tc>
      </w:tr>
      <w:tr>
        <w:tc>
          <w:tcPr/>
          <w:p>
            <w:pPr>
              <w:pStyle w:val="Compact"/>
            </w:pPr>
            <w:r>
              <w:t xml:space="preserve">U.S. Legacy Products assumption update</w:t>
            </w:r>
          </w:p>
        </w:tc>
        <w:tc>
          <w:tcPr/>
          <w:p>
            <w:pPr>
              <w:pStyle w:val="Compact"/>
              <w:jc w:val="right"/>
            </w:pPr>
            <w:r>
              <w:rPr>
                <w:b/>
                <w:bCs/>
              </w:rPr>
              <w:t xml:space="preserve">+$15 million</w:t>
            </w:r>
          </w:p>
        </w:tc>
        <w:tc>
          <w:tcPr/>
          <w:p>
            <w:pPr>
              <w:pStyle w:val="Compact"/>
            </w:pPr>
            <w:r>
              <w:t xml:space="preserve">Positive</w:t>
            </w:r>
          </w:p>
        </w:tc>
      </w:tr>
    </w:tbl>
    <w:p>
      <w:pPr>
        <w:pStyle w:val="BodyText"/>
      </w:pPr>
      <w:r>
        <w:t xml:space="preserve">The actuarial updates therefore add up to an approximately</w:t>
      </w:r>
      <w:r>
        <w:t xml:space="preserve"> </w:t>
      </w:r>
      <w:r>
        <w:rPr>
          <w:b/>
          <w:bCs/>
        </w:rPr>
        <w:t xml:space="preserve">$65 million net positive pre-tax adjusted operating income impact</w:t>
      </w:r>
      <w:r>
        <w:t xml:space="preserve">. Management said these updates should not have a material ongoing effect. After allowing for the alternative-investment shortfall, the disclosed items are still a net positive of roughly</w:t>
      </w:r>
      <w:r>
        <w:t xml:space="preserve"> </w:t>
      </w:r>
      <m:oMath>
        <m:r>
          <m:t>25</m:t>
        </m:r>
        <m:r>
          <m:t>m</m:t>
        </m:r>
        <m:r>
          <m:t>i</m:t>
        </m:r>
        <m:r>
          <m:t>l</m:t>
        </m:r>
        <m:r>
          <m:t>l</m:t>
        </m:r>
        <m:r>
          <m:t>i</m:t>
        </m:r>
        <m:r>
          <m:t>o</m:t>
        </m:r>
        <m:r>
          <m:t>n</m:t>
        </m:r>
        <m:r>
          <m:rPr>
            <m:sty m:val="p"/>
          </m:rPr>
          <m:t>–</m:t>
        </m:r>
      </m:oMath>
      <w:r>
        <w:t xml:space="preserve">45 million pre-tax. Investors should therefore separate the reported result from the quarter’s cleaner underlying run rate. (</w:t>
      </w:r>
      <w:hyperlink r:id="rId11">
        <w:r>
          <w:rPr>
            <w:rStyle w:val="Hyperlink"/>
          </w:rPr>
          <w:t xml:space="preserve">sec.gov</w:t>
        </w:r>
      </w:hyperlink>
      <w:r>
        <w:t xml:space="preserve">)</w:t>
      </w:r>
    </w:p>
    <w:p>
      <w:r>
        <w:pict>
          <v:rect style="width:0;height:1.5pt" o:hralign="center" o:hrstd="t" o:hr="t"/>
        </w:pict>
      </w:r>
    </w:p>
    <w:bookmarkEnd w:id="12"/>
    <w:bookmarkStart w:id="15" w:name="X54bb1268bcfea2564789772ce6b4deeef2e4b06"/>
    <w:p>
      <w:pPr>
        <w:pStyle w:val="Heading2"/>
      </w:pPr>
      <w:r>
        <w:t xml:space="preserve">1. Japan remains the central risk</w:t>
      </w:r>
    </w:p>
    <w:p>
      <w:pPr>
        <w:pStyle w:val="FirstParagraph"/>
      </w:pPr>
      <w:r>
        <w:t xml:space="preserve">Prudential of Japan suspended new sales beginning February 9 and extended the suspension through</w:t>
      </w:r>
      <w:r>
        <w:t xml:space="preserve"> </w:t>
      </w:r>
      <w:r>
        <w:rPr>
          <w:b/>
          <w:bCs/>
        </w:rPr>
        <w:t xml:space="preserve">November 5, 2026</w:t>
      </w:r>
      <w:r>
        <w:t xml:space="preserve">. PRU has estimated a</w:t>
      </w:r>
      <w:r>
        <w:t xml:space="preserve"> </w:t>
      </w:r>
      <m:oMath>
        <m:r>
          <m:t>525</m:t>
        </m:r>
        <m:r>
          <m:t>m</m:t>
        </m:r>
        <m:r>
          <m:t>i</m:t>
        </m:r>
        <m:r>
          <m:t>l</m:t>
        </m:r>
        <m:r>
          <m:t>l</m:t>
        </m:r>
        <m:r>
          <m:t>i</m:t>
        </m:r>
        <m:r>
          <m:t>o</m:t>
        </m:r>
        <m:r>
          <m:t>n</m:t>
        </m:r>
        <m:r>
          <m:rPr>
            <m:sty m:val="p"/>
          </m:rPr>
          <m:t>–</m:t>
        </m:r>
      </m:oMath>
      <w:r>
        <w:rPr>
          <w:b/>
          <w:bCs/>
        </w:rPr>
        <w:t xml:space="preserve">575 million reduction in 2026 pre-tax adjusted operating income</w:t>
      </w:r>
      <w:r>
        <w:t xml:space="preserve">, including the $130 million impact recorded in the first quarter. Management has also warned that the drag is not linear: lower sales, elevated surrenders and support payments to Life Planners become more significant as the year progresses. (</w:t>
      </w:r>
      <w:hyperlink r:id="rId13">
        <w:r>
          <w:rPr>
            <w:rStyle w:val="Hyperlink"/>
          </w:rPr>
          <w:t xml:space="preserve">sec.gov</w:t>
        </w:r>
      </w:hyperlink>
      <w:r>
        <w:t xml:space="preserve">)</w:t>
      </w:r>
    </w:p>
    <w:p>
      <w:pPr>
        <w:pStyle w:val="BodyText"/>
      </w:pPr>
      <w:r>
        <w:t xml:space="preserve">The second-quarter report needs to answer five questions:</w:t>
      </w:r>
    </w:p>
    <w:p>
      <w:pPr>
        <w:pStyle w:val="Compact"/>
        <w:numPr>
          <w:ilvl w:val="0"/>
          <w:numId w:val="1002"/>
        </w:numPr>
      </w:pPr>
      <w:r>
        <w:t xml:space="preserve">Is the November 5 restart date still realistic?</w:t>
      </w:r>
    </w:p>
    <w:p>
      <w:pPr>
        <w:pStyle w:val="Compact"/>
        <w:numPr>
          <w:ilvl w:val="0"/>
          <w:numId w:val="1002"/>
        </w:numPr>
      </w:pPr>
      <w:r>
        <w:t xml:space="preserve">Are Life Planner retention and policy surrenders tracking within management’s assumptions?</w:t>
      </w:r>
    </w:p>
    <w:p>
      <w:pPr>
        <w:pStyle w:val="Compact"/>
        <w:numPr>
          <w:ilvl w:val="0"/>
          <w:numId w:val="1002"/>
        </w:numPr>
      </w:pPr>
      <w:r>
        <w:t xml:space="preserve">Has the review found additional misconduct or control deficiencies?</w:t>
      </w:r>
    </w:p>
    <w:p>
      <w:pPr>
        <w:pStyle w:val="Compact"/>
        <w:numPr>
          <w:ilvl w:val="0"/>
          <w:numId w:val="1002"/>
        </w:numPr>
      </w:pPr>
      <w:r>
        <w:t xml:space="preserve">Is the</w:t>
      </w:r>
      <w:r>
        <w:t xml:space="preserve"> </w:t>
      </w:r>
      <m:oMath>
        <m:r>
          <m:t>525</m:t>
        </m:r>
        <m:r>
          <m:t>m</m:t>
        </m:r>
        <m:r>
          <m:t>i</m:t>
        </m:r>
        <m:r>
          <m:t>l</m:t>
        </m:r>
        <m:r>
          <m:t>l</m:t>
        </m:r>
        <m:r>
          <m:t>i</m:t>
        </m:r>
        <m:r>
          <m:t>o</m:t>
        </m:r>
        <m:r>
          <m:t>n</m:t>
        </m:r>
        <m:r>
          <m:rPr>
            <m:sty m:val="p"/>
          </m:rPr>
          <m:t>–</m:t>
        </m:r>
      </m:oMath>
      <w:r>
        <w:t xml:space="preserve">575 million full-year estimate unchanged?</w:t>
      </w:r>
    </w:p>
    <w:p>
      <w:pPr>
        <w:pStyle w:val="Compact"/>
        <w:numPr>
          <w:ilvl w:val="0"/>
          <w:numId w:val="1002"/>
        </w:numPr>
      </w:pPr>
      <w:r>
        <w:t xml:space="preserve">Does management still expect no material impact on capital, cash flow or shareholder distributions?</w:t>
      </w:r>
    </w:p>
    <w:p>
      <w:pPr>
        <w:pStyle w:val="FirstParagraph"/>
      </w:pPr>
      <w:r>
        <w:t xml:space="preserve">The July reimbursement update suggests tangible progress, but also illustrates the scope of the remediation. Of the original 498 affected individuals, reviews or reimbursements had been completed for 437, representing claims of ¥2.85 billion. The independent committee had also reviewed 365 subsequent inquiries, with 125 cases representing ¥792 million deemed eligible for reimbursement. (</w:t>
      </w:r>
      <w:hyperlink r:id="rId14">
        <w:r>
          <w:rPr>
            <w:rStyle w:val="Hyperlink"/>
          </w:rPr>
          <w:t xml:space="preserve">insurancejournal.com</w:t>
        </w:r>
      </w:hyperlink>
      <w:r>
        <w:t xml:space="preserve">)</w:t>
      </w:r>
    </w:p>
    <w:p>
      <w:pPr>
        <w:pStyle w:val="BodyText"/>
      </w:pPr>
      <w:r>
        <w:rPr>
          <w:b/>
          <w:bCs/>
        </w:rPr>
        <w:t xml:space="preserve">What would be bullish:</w:t>
      </w:r>
      <w:r>
        <w:t xml:space="preserve"> </w:t>
      </w:r>
      <w:r>
        <w:t xml:space="preserve">reaffirmation of the November 5 timeline, stable Life Planner retention, no material new findings and an unchanged cost estimate.</w:t>
      </w:r>
    </w:p>
    <w:p>
      <w:pPr>
        <w:pStyle w:val="BodyText"/>
      </w:pPr>
      <w:r>
        <w:rPr>
          <w:b/>
          <w:bCs/>
        </w:rPr>
        <w:t xml:space="preserve">What would be bearish:</w:t>
      </w:r>
      <w:r>
        <w:t xml:space="preserve"> </w:t>
      </w:r>
      <w:r>
        <w:t xml:space="preserve">a longer suspension, worsening surrenders, broader problems at Gibraltar Life or an increase in the 2026/2027 earnings drag.</w:t>
      </w:r>
    </w:p>
    <w:p>
      <w:r>
        <w:pict>
          <v:rect style="width:0;height:1.5pt" o:hralign="center" o:hrstd="t" o:hr="t"/>
        </w:pict>
      </w:r>
    </w:p>
    <w:bookmarkEnd w:id="15"/>
    <w:bookmarkStart w:id="16" w:name="X37fa50532577d9cb07d234f8335d1da6cb29a2b"/>
    <w:p>
      <w:pPr>
        <w:pStyle w:val="Heading2"/>
      </w:pPr>
      <w:r>
        <w:t xml:space="preserve">2. The strategy update may be the real earnings catalyst</w:t>
      </w:r>
    </w:p>
    <w:p>
      <w:pPr>
        <w:pStyle w:val="FirstParagraph"/>
      </w:pPr>
      <w:r>
        <w:t xml:space="preserve">Management has specifically scheduled a roughly 90-minute extended call to discuss Prudential’s strategy and long-term vision. That makes this report closer to a mini-investor day than a normal quarterly call. (</w:t>
      </w:r>
      <w:hyperlink r:id="rId9">
        <w:r>
          <w:rPr>
            <w:rStyle w:val="Hyperlink"/>
          </w:rPr>
          <w:t xml:space="preserve">investor.prudential.com</w:t>
        </w:r>
      </w:hyperlink>
      <w:r>
        <w:t xml:space="preserve">)</w:t>
      </w:r>
    </w:p>
    <w:p>
      <w:pPr>
        <w:pStyle w:val="BodyText"/>
      </w:pPr>
      <w:r>
        <w:t xml:space="preserve">CEO Andy Sullivan has already indicated that Prudential intends to become a more focused company, concentrating capital and investment spending in businesses where it has scale and a credible path to attractive returns. Early portfolio actions have included agreements to exit smaller operations in markets such as India, Indonesia and Kenya.</w:t>
      </w:r>
    </w:p>
    <w:p>
      <w:pPr>
        <w:pStyle w:val="BodyText"/>
      </w:pPr>
      <w:r>
        <w:t xml:space="preserve">Investors should look for:</w:t>
      </w:r>
    </w:p>
    <w:p>
      <w:pPr>
        <w:pStyle w:val="Compact"/>
        <w:numPr>
          <w:ilvl w:val="0"/>
          <w:numId w:val="1003"/>
        </w:numPr>
      </w:pPr>
      <w:r>
        <w:t xml:space="preserve">Explicit long-term</w:t>
      </w:r>
      <w:r>
        <w:t xml:space="preserve"> </w:t>
      </w:r>
      <w:r>
        <w:rPr>
          <w:b/>
          <w:bCs/>
        </w:rPr>
        <w:t xml:space="preserve">earnings-growth and ROE objectives</w:t>
      </w:r>
      <w:r>
        <w:t xml:space="preserve">.</w:t>
      </w:r>
    </w:p>
    <w:p>
      <w:pPr>
        <w:pStyle w:val="Compact"/>
        <w:numPr>
          <w:ilvl w:val="0"/>
          <w:numId w:val="1003"/>
        </w:numPr>
      </w:pPr>
      <w:r>
        <w:t xml:space="preserve">A clearer definition of the businesses PRU considers core.</w:t>
      </w:r>
    </w:p>
    <w:p>
      <w:pPr>
        <w:pStyle w:val="Compact"/>
        <w:numPr>
          <w:ilvl w:val="0"/>
          <w:numId w:val="1003"/>
        </w:numPr>
      </w:pPr>
      <w:r>
        <w:t xml:space="preserve">Additional divestitures or reinsurance transactions.</w:t>
      </w:r>
    </w:p>
    <w:p>
      <w:pPr>
        <w:pStyle w:val="Compact"/>
        <w:numPr>
          <w:ilvl w:val="0"/>
          <w:numId w:val="1003"/>
        </w:numPr>
      </w:pPr>
      <w:r>
        <w:t xml:space="preserve">Expense-reduction targets beyond previously announced actions.</w:t>
      </w:r>
    </w:p>
    <w:p>
      <w:pPr>
        <w:pStyle w:val="Compact"/>
        <w:numPr>
          <w:ilvl w:val="0"/>
          <w:numId w:val="1003"/>
        </w:numPr>
      </w:pPr>
      <w:r>
        <w:t xml:space="preserve">Capital-allocation priorities between organic growth, acquisitions, buybacks and dividends.</w:t>
      </w:r>
    </w:p>
    <w:p>
      <w:pPr>
        <w:pStyle w:val="Compact"/>
        <w:numPr>
          <w:ilvl w:val="0"/>
          <w:numId w:val="1003"/>
        </w:numPr>
      </w:pPr>
      <w:r>
        <w:t xml:space="preserve">A plan to reduce the earnings volatility and complexity associated with legacy products.</w:t>
      </w:r>
    </w:p>
    <w:p>
      <w:pPr>
        <w:pStyle w:val="FirstParagraph"/>
      </w:pPr>
      <w:r>
        <w:t xml:space="preserve">A compelling strategy must be measurable. Statements about simplification and execution will have limited value unless accompanied by targets, timing and accountability.</w:t>
      </w:r>
    </w:p>
    <w:p>
      <w:r>
        <w:pict>
          <v:rect style="width:0;height:1.5pt" o:hralign="center" o:hrstd="t" o:hr="t"/>
        </w:pict>
      </w:r>
    </w:p>
    <w:bookmarkEnd w:id="16"/>
    <w:bookmarkStart w:id="18" w:name="X324fa5f5af90eb6a5b8c284d6904fc6e5bf839a"/>
    <w:p>
      <w:pPr>
        <w:pStyle w:val="Heading2"/>
      </w:pPr>
      <w:r>
        <w:t xml:space="preserve">3. PGIM: improving setup, but flows and margins matter</w:t>
      </w:r>
    </w:p>
    <w:p>
      <w:pPr>
        <w:pStyle w:val="FirstParagraph"/>
      </w:pPr>
      <w:r>
        <w:t xml:space="preserve">PGIM entered the quarter with improving momentum. In the first quarter, adjusted operating income rose 22% to $190 million, third-party net inflows totaled $1.8 billion and private-capital deployment reached $13.1 billion. However, active-equity outflows and affiliated runoff remained headwinds. (</w:t>
      </w:r>
      <w:hyperlink r:id="rId17">
        <w:r>
          <w:rPr>
            <w:rStyle w:val="Hyperlink"/>
          </w:rPr>
          <w:t xml:space="preserve">sec.gov</w:t>
        </w:r>
      </w:hyperlink>
      <w:r>
        <w:t xml:space="preserve">)</w:t>
      </w:r>
    </w:p>
    <w:p>
      <w:pPr>
        <w:pStyle w:val="BodyText"/>
      </w:pPr>
      <w:r>
        <w:t xml:space="preserve">The preannounced</w:t>
      </w:r>
      <w:r>
        <w:t xml:space="preserve"> </w:t>
      </w:r>
      <w:r>
        <w:rPr>
          <w:b/>
          <w:bCs/>
        </w:rPr>
        <w:t xml:space="preserve">$1.49 trillion of June 30 AUM</w:t>
      </w:r>
      <w:r>
        <w:t xml:space="preserve"> </w:t>
      </w:r>
      <w:r>
        <w:t xml:space="preserve">is encouraging, but the quality of that increase matters. Investors should distinguish market appreciation from client flows.</w:t>
      </w:r>
    </w:p>
    <w:p>
      <w:pPr>
        <w:pStyle w:val="BodyText"/>
      </w:pPr>
      <w:r>
        <w:t xml:space="preserve">Key PGIM metrics:</w:t>
      </w:r>
    </w:p>
    <w:p>
      <w:pPr>
        <w:pStyle w:val="Compact"/>
        <w:numPr>
          <w:ilvl w:val="0"/>
          <w:numId w:val="1004"/>
        </w:numPr>
      </w:pPr>
      <w:r>
        <w:t xml:space="preserve">Third-party institutional and retail net flows.</w:t>
      </w:r>
    </w:p>
    <w:p>
      <w:pPr>
        <w:pStyle w:val="Compact"/>
        <w:numPr>
          <w:ilvl w:val="0"/>
          <w:numId w:val="1004"/>
        </w:numPr>
      </w:pPr>
      <w:r>
        <w:t xml:space="preserve">Continued fixed-income inflows versus active-equity redemptions.</w:t>
      </w:r>
    </w:p>
    <w:p>
      <w:pPr>
        <w:pStyle w:val="Compact"/>
        <w:numPr>
          <w:ilvl w:val="0"/>
          <w:numId w:val="1004"/>
        </w:numPr>
      </w:pPr>
      <w:r>
        <w:t xml:space="preserve">Private-credit and real-estate fundraising and deployment.</w:t>
      </w:r>
    </w:p>
    <w:p>
      <w:pPr>
        <w:pStyle w:val="Compact"/>
        <w:numPr>
          <w:ilvl w:val="0"/>
          <w:numId w:val="1004"/>
        </w:numPr>
      </w:pPr>
      <w:r>
        <w:t xml:space="preserve">Fee-rate and revenue growth, not just higher AUM.</w:t>
      </w:r>
    </w:p>
    <w:p>
      <w:pPr>
        <w:pStyle w:val="Compact"/>
        <w:numPr>
          <w:ilvl w:val="0"/>
          <w:numId w:val="1004"/>
        </w:numPr>
      </w:pPr>
      <w:r>
        <w:t xml:space="preserve">Operating-margin expansion and expense savings.</w:t>
      </w:r>
    </w:p>
    <w:p>
      <w:pPr>
        <w:pStyle w:val="Compact"/>
        <w:numPr>
          <w:ilvl w:val="0"/>
          <w:numId w:val="1004"/>
        </w:numPr>
      </w:pPr>
      <w:r>
        <w:t xml:space="preserve">Affiliated outflows related to legacy annuity runoff.</w:t>
      </w:r>
    </w:p>
    <w:p>
      <w:pPr>
        <w:pStyle w:val="FirstParagraph"/>
      </w:pPr>
      <w:r>
        <w:t xml:space="preserve">A strong quarter would show that PGIM can generate positive third-party flows and margin expansion at the same time. Higher AUM without organic inflows would be less persuasive.</w:t>
      </w:r>
    </w:p>
    <w:p>
      <w:r>
        <w:pict>
          <v:rect style="width:0;height:1.5pt" o:hralign="center" o:hrstd="t" o:hr="t"/>
        </w:pict>
      </w:r>
    </w:p>
    <w:bookmarkEnd w:id="18"/>
    <w:bookmarkStart w:id="19" w:name="Xb0be21d38bf1ffc1e3a2a635a36948b4f2276ce"/>
    <w:p>
      <w:pPr>
        <w:pStyle w:val="Heading2"/>
      </w:pPr>
      <w:r>
        <w:t xml:space="preserve">4. Retirement should remain the strongest U.S. earnings engine</w:t>
      </w:r>
    </w:p>
    <w:p>
      <w:pPr>
        <w:pStyle w:val="FirstParagraph"/>
      </w:pPr>
      <w:r>
        <w:t xml:space="preserve">First-quarter Retirement adjusted operating income was $572 million, up 9%, supported by business growth and higher spread income. Retail annuity sales were $3.3 billion, while pension-risk-transfer activity totaled $1.4 billion across four middle-market transactions. (</w:t>
      </w:r>
      <w:hyperlink r:id="rId17">
        <w:r>
          <w:rPr>
            <w:rStyle w:val="Hyperlink"/>
          </w:rPr>
          <w:t xml:space="preserve">sec.gov</w:t>
        </w:r>
      </w:hyperlink>
      <w:r>
        <w:t xml:space="preserve">)</w:t>
      </w:r>
    </w:p>
    <w:p>
      <w:pPr>
        <w:pStyle w:val="BodyText"/>
      </w:pPr>
      <w:r>
        <w:t xml:space="preserve">For the second quarter, investors should focus on:</w:t>
      </w:r>
    </w:p>
    <w:p>
      <w:pPr>
        <w:pStyle w:val="Compact"/>
        <w:numPr>
          <w:ilvl w:val="0"/>
          <w:numId w:val="1005"/>
        </w:numPr>
      </w:pPr>
      <w:r>
        <w:t xml:space="preserve">FlexGuard and fixed-annuity sales.</w:t>
      </w:r>
    </w:p>
    <w:p>
      <w:pPr>
        <w:pStyle w:val="Compact"/>
        <w:numPr>
          <w:ilvl w:val="0"/>
          <w:numId w:val="1005"/>
        </w:numPr>
      </w:pPr>
      <w:r>
        <w:t xml:space="preserve">Pricing discipline in the competitive registered index-linked annuity market.</w:t>
      </w:r>
    </w:p>
    <w:p>
      <w:pPr>
        <w:pStyle w:val="Compact"/>
        <w:numPr>
          <w:ilvl w:val="0"/>
          <w:numId w:val="1005"/>
        </w:numPr>
      </w:pPr>
      <w:r>
        <w:t xml:space="preserve">Pension-risk-transfer volumes and the second-half transaction pipeline.</w:t>
      </w:r>
    </w:p>
    <w:p>
      <w:pPr>
        <w:pStyle w:val="Compact"/>
        <w:numPr>
          <w:ilvl w:val="0"/>
          <w:numId w:val="1005"/>
        </w:numPr>
      </w:pPr>
      <w:r>
        <w:t xml:space="preserve">Spread income and reinvestment yields.</w:t>
      </w:r>
    </w:p>
    <w:p>
      <w:pPr>
        <w:pStyle w:val="Compact"/>
        <w:numPr>
          <w:ilvl w:val="0"/>
          <w:numId w:val="1005"/>
        </w:numPr>
      </w:pPr>
      <w:r>
        <w:t xml:space="preserve">Whether expense growth is being funded by enterprise efficiencies.</w:t>
      </w:r>
    </w:p>
    <w:p>
      <w:pPr>
        <w:pStyle w:val="Compact"/>
        <w:numPr>
          <w:ilvl w:val="0"/>
          <w:numId w:val="1005"/>
        </w:numPr>
      </w:pPr>
      <w:r>
        <w:t xml:space="preserve">The underlying result excluding the</w:t>
      </w:r>
      <w:r>
        <w:t xml:space="preserve"> </w:t>
      </w:r>
      <w:r>
        <w:rPr>
          <w:b/>
          <w:bCs/>
        </w:rPr>
        <w:t xml:space="preserve">$90 million negative assumption update</w:t>
      </w:r>
      <w:r>
        <w:t xml:space="preserve">.</w:t>
      </w:r>
    </w:p>
    <w:p>
      <w:pPr>
        <w:pStyle w:val="FirstParagraph"/>
      </w:pPr>
      <w:r>
        <w:t xml:space="preserve">PRU does not need a jumbo pension-risk-transfer transaction to produce a good quarter. Consistent middle-market activity, profitable retail annuity sales and improving spread earnings would support the strategic case for emphasizing Retirement.</w:t>
      </w:r>
    </w:p>
    <w:p>
      <w:r>
        <w:pict>
          <v:rect style="width:0;height:1.5pt" o:hralign="center" o:hrstd="t" o:hr="t"/>
        </w:pict>
      </w:r>
    </w:p>
    <w:bookmarkEnd w:id="19"/>
    <w:bookmarkStart w:id="23" w:name="X27910cade90455c2cc632cd60797aa156f1437a"/>
    <w:p>
      <w:pPr>
        <w:pStyle w:val="Heading2"/>
      </w:pPr>
      <w:r>
        <w:t xml:space="preserve">5. Insurance underwriting could create meaningful variance</w:t>
      </w:r>
    </w:p>
    <w:bookmarkStart w:id="20" w:name="group-insurance"/>
    <w:p>
      <w:pPr>
        <w:pStyle w:val="Heading3"/>
      </w:pPr>
      <w:r>
        <w:t xml:space="preserve">Group Insurance</w:t>
      </w:r>
    </w:p>
    <w:p>
      <w:pPr>
        <w:pStyle w:val="FirstParagraph"/>
      </w:pPr>
      <w:r>
        <w:t xml:space="preserve">Group Insurance was the weak spot in the first quarter. Adjusted operating income fell to $38 million as long-term disability claims incidence and severity increased. The overall benefits ratio was 83.7%, still within management’s 83%–87% target range, but disability performance deteriorated substantially from unusually favorable prior-year levels.</w:t>
      </w:r>
    </w:p>
    <w:p>
      <w:pPr>
        <w:pStyle w:val="BodyText"/>
      </w:pPr>
      <w:r>
        <w:t xml:space="preserve">The most important question is whether disability experience stabilized in Q2. The $30 million favorable assumption update will help reported earnings, but investors should focus on the benefits ratio excluding that item.</w:t>
      </w:r>
    </w:p>
    <w:bookmarkEnd w:id="20"/>
    <w:bookmarkStart w:id="21" w:name="individual-life"/>
    <w:p>
      <w:pPr>
        <w:pStyle w:val="Heading3"/>
      </w:pPr>
      <w:r>
        <w:t xml:space="preserve">Individual Life</w:t>
      </w:r>
    </w:p>
    <w:p>
      <w:pPr>
        <w:pStyle w:val="FirstParagraph"/>
      </w:pPr>
      <w:r>
        <w:t xml:space="preserve">Individual Life had a strong first quarter, with adjusted operating income of $139 million and record first-quarter sales of $251 million. Favorable mortality contributed materially, so some normalization would not necessarily be alarming.</w:t>
      </w:r>
    </w:p>
    <w:p>
      <w:pPr>
        <w:pStyle w:val="BodyText"/>
      </w:pPr>
      <w:r>
        <w:t xml:space="preserve">Investors should look for continued variable-life sales growth, stable mortality and evidence that the segment’s improved earnings profile is sustainable after the separation of guaranteed universal life into U.S. Legacy Products. (</w:t>
      </w:r>
      <w:hyperlink r:id="rId17">
        <w:r>
          <w:rPr>
            <w:rStyle w:val="Hyperlink"/>
          </w:rPr>
          <w:t xml:space="preserve">sec.gov</w:t>
        </w:r>
      </w:hyperlink>
      <w:r>
        <w:t xml:space="preserve">)</w:t>
      </w:r>
    </w:p>
    <w:bookmarkEnd w:id="21"/>
    <w:bookmarkStart w:id="22" w:name="us-legacy-products"/>
    <w:p>
      <w:pPr>
        <w:pStyle w:val="Heading3"/>
      </w:pPr>
      <w:r>
        <w:t xml:space="preserve">U.S. Legacy Products</w:t>
      </w:r>
    </w:p>
    <w:p>
      <w:pPr>
        <w:pStyle w:val="FirstParagraph"/>
      </w:pPr>
      <w:r>
        <w:t xml:space="preserve">The new Legacy segment makes the runoff more visible. First-quarter adjusted operating income declined 22% to $207 million as variable-annuity account values continued to run off and guaranteed-universal-life reserve growth pressured results.</w:t>
      </w:r>
    </w:p>
    <w:p>
      <w:pPr>
        <w:pStyle w:val="BodyText"/>
      </w:pPr>
      <w:r>
        <w:t xml:space="preserve">The key issues are:</w:t>
      </w:r>
    </w:p>
    <w:p>
      <w:pPr>
        <w:pStyle w:val="Compact"/>
        <w:numPr>
          <w:ilvl w:val="0"/>
          <w:numId w:val="1006"/>
        </w:numPr>
      </w:pPr>
      <w:r>
        <w:t xml:space="preserve">Pace of variable-annuity outflows.</w:t>
      </w:r>
    </w:p>
    <w:p>
      <w:pPr>
        <w:pStyle w:val="Compact"/>
        <w:numPr>
          <w:ilvl w:val="0"/>
          <w:numId w:val="1006"/>
        </w:numPr>
      </w:pPr>
      <w:r>
        <w:t xml:space="preserve">GUL mortality and reserve development.</w:t>
      </w:r>
    </w:p>
    <w:p>
      <w:pPr>
        <w:pStyle w:val="Compact"/>
        <w:numPr>
          <w:ilvl w:val="0"/>
          <w:numId w:val="1006"/>
        </w:numPr>
      </w:pPr>
      <w:r>
        <w:t xml:space="preserve">Hedge performance and GAAP volatility.</w:t>
      </w:r>
    </w:p>
    <w:p>
      <w:pPr>
        <w:pStyle w:val="Compact"/>
        <w:numPr>
          <w:ilvl w:val="0"/>
          <w:numId w:val="1006"/>
        </w:numPr>
      </w:pPr>
      <w:r>
        <w:t xml:space="preserve">Additional reinsurance or risk-transfer opportunities.</w:t>
      </w:r>
    </w:p>
    <w:p>
      <w:pPr>
        <w:pStyle w:val="FirstParagraph"/>
      </w:pPr>
      <w:r>
        <w:t xml:space="preserve">The $15 million favorable assumption update is helpful but does not alter the segment’s structural runoff.</w:t>
      </w:r>
    </w:p>
    <w:p>
      <w:r>
        <w:pict>
          <v:rect style="width:0;height:1.5pt" o:hralign="center" o:hrstd="t" o:hr="t"/>
        </w:pict>
      </w:r>
    </w:p>
    <w:bookmarkEnd w:id="22"/>
    <w:bookmarkEnd w:id="23"/>
    <w:bookmarkStart w:id="24" w:name="Xeb94f633a91fbf96c2d2cee74ff117e1ea83a92"/>
    <w:p>
      <w:pPr>
        <w:pStyle w:val="Heading2"/>
      </w:pPr>
      <w:r>
        <w:t xml:space="preserve">6. Capital return should remain part of the support case</w:t>
      </w:r>
    </w:p>
    <w:p>
      <w:pPr>
        <w:pStyle w:val="FirstParagraph"/>
      </w:pPr>
      <w:r>
        <w:t xml:space="preserve">Prudential ended the first quarter with</w:t>
      </w:r>
      <w:r>
        <w:t xml:space="preserve"> </w:t>
      </w:r>
      <w:r>
        <w:rPr>
          <w:b/>
          <w:bCs/>
        </w:rPr>
        <w:t xml:space="preserve">$3.7 billion of parent-company highly liquid assets</w:t>
      </w:r>
      <w:r>
        <w:t xml:space="preserve">, above its $3 billion minimum target. It returned $746 million to shareholders during the quarter, including $250 million of repurchases and $496 million of dividends. Adjusted book value was $99.79 per share. (</w:t>
      </w:r>
      <w:hyperlink r:id="rId17">
        <w:r>
          <w:rPr>
            <w:rStyle w:val="Hyperlink"/>
          </w:rPr>
          <w:t xml:space="preserve">sec.gov</w:t>
        </w:r>
      </w:hyperlink>
      <w:r>
        <w:t xml:space="preserve">)</w:t>
      </w:r>
    </w:p>
    <w:p>
      <w:pPr>
        <w:pStyle w:val="BodyText"/>
      </w:pPr>
      <w:r>
        <w:t xml:space="preserve">The capital questions are straightforward:</w:t>
      </w:r>
    </w:p>
    <w:p>
      <w:pPr>
        <w:pStyle w:val="Compact"/>
        <w:numPr>
          <w:ilvl w:val="0"/>
          <w:numId w:val="1007"/>
        </w:numPr>
      </w:pPr>
      <w:r>
        <w:t xml:space="preserve">Is the existing buyback pace maintained?</w:t>
      </w:r>
    </w:p>
    <w:p>
      <w:pPr>
        <w:pStyle w:val="Compact"/>
        <w:numPr>
          <w:ilvl w:val="0"/>
          <w:numId w:val="1007"/>
        </w:numPr>
      </w:pPr>
      <w:r>
        <w:t xml:space="preserve">Does Japan require more capital than previously expected?</w:t>
      </w:r>
    </w:p>
    <w:p>
      <w:pPr>
        <w:pStyle w:val="Compact"/>
        <w:numPr>
          <w:ilvl w:val="0"/>
          <w:numId w:val="1007"/>
        </w:numPr>
      </w:pPr>
      <w:r>
        <w:t xml:space="preserve">Will restructuring or strategic actions consume additional holding-company liquidity?</w:t>
      </w:r>
    </w:p>
    <w:p>
      <w:pPr>
        <w:pStyle w:val="Compact"/>
        <w:numPr>
          <w:ilvl w:val="0"/>
          <w:numId w:val="1007"/>
        </w:numPr>
      </w:pPr>
      <w:r>
        <w:t xml:space="preserve">Does management view the dividend and repurchase program as fully protected under the new strategy?</w:t>
      </w:r>
    </w:p>
    <w:p>
      <w:pPr>
        <w:pStyle w:val="FirstParagraph"/>
      </w:pPr>
      <w:r>
        <w:t xml:space="preserve">Any pullback in capital return without a clear high-return use of funds would likely be viewed negatively.</w:t>
      </w:r>
    </w:p>
    <w:p>
      <w:r>
        <w:pict>
          <v:rect style="width:0;height:1.5pt" o:hralign="center" o:hrstd="t" o:hr="t"/>
        </w:pict>
      </w:r>
    </w:p>
    <w:bookmarkEnd w:id="24"/>
    <w:bookmarkStart w:id="25" w:name="earnings-scorecard"/>
    <w:p>
      <w:pPr>
        <w:pStyle w:val="Heading2"/>
      </w:pPr>
      <w:r>
        <w:t xml:space="preserve">Earnings scorecard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 outcome</w:t>
            </w:r>
          </w:p>
        </w:tc>
        <w:tc>
          <w:tcPr/>
          <w:p>
            <w:pPr>
              <w:pStyle w:val="Compact"/>
            </w:pPr>
            <w:r>
              <w:t xml:space="preserve">Bearish outcome</w:t>
            </w:r>
          </w:p>
        </w:tc>
      </w:tr>
      <w:tr>
        <w:tc>
          <w:tcPr/>
          <w:p>
            <w:pPr>
              <w:pStyle w:val="Compact"/>
            </w:pPr>
            <w:r>
              <w:t xml:space="preserve">Japan cost and restart guidance reaffirmed</w:t>
            </w:r>
          </w:p>
        </w:tc>
        <w:tc>
          <w:tcPr/>
          <w:p>
            <w:pPr>
              <w:pStyle w:val="Compact"/>
            </w:pPr>
            <w:r>
              <w:t xml:space="preserve">Japan suspension extended or cost estimate raised</w:t>
            </w:r>
          </w:p>
        </w:tc>
      </w:tr>
      <w:tr>
        <w:tc>
          <w:tcPr/>
          <w:p>
            <w:pPr>
              <w:pStyle w:val="Compact"/>
            </w:pPr>
            <w:r>
              <w:t xml:space="preserve">Strategy includes clear ROE, growth and expense targets</w:t>
            </w:r>
          </w:p>
        </w:tc>
        <w:tc>
          <w:tcPr/>
          <w:p>
            <w:pPr>
              <w:pStyle w:val="Compact"/>
            </w:pPr>
            <w:r>
              <w:t xml:space="preserve">Strategy remains qualitative or adds heavy restructuring costs</w:t>
            </w:r>
          </w:p>
        </w:tc>
      </w:tr>
      <w:tr>
        <w:tc>
          <w:tcPr/>
          <w:p>
            <w:pPr>
              <w:pStyle w:val="Compact"/>
            </w:pPr>
            <w:r>
              <w:t xml:space="preserve">PGIM generates positive third-party flows and margin progress</w:t>
            </w:r>
          </w:p>
        </w:tc>
        <w:tc>
          <w:tcPr/>
          <w:p>
            <w:pPr>
              <w:pStyle w:val="Compact"/>
            </w:pPr>
            <w:r>
              <w:t xml:space="preserve">AUM growth is market-driven while organic outflows persist</w:t>
            </w:r>
          </w:p>
        </w:tc>
      </w:tr>
      <w:tr>
        <w:tc>
          <w:tcPr/>
          <w:p>
            <w:pPr>
              <w:pStyle w:val="Compact"/>
            </w:pPr>
            <w:r>
              <w:t xml:space="preserve">Retirement posts solid spread earnings and disciplined sales</w:t>
            </w:r>
          </w:p>
        </w:tc>
        <w:tc>
          <w:tcPr/>
          <w:p>
            <w:pPr>
              <w:pStyle w:val="Compact"/>
            </w:pPr>
            <w:r>
              <w:t xml:space="preserve">Competitive pricing weakens new-business returns</w:t>
            </w:r>
          </w:p>
        </w:tc>
      </w:tr>
      <w:tr>
        <w:tc>
          <w:tcPr/>
          <w:p>
            <w:pPr>
              <w:pStyle w:val="Compact"/>
            </w:pPr>
            <w:r>
              <w:t xml:space="preserve">Group disability experience stabilizes</w:t>
            </w:r>
          </w:p>
        </w:tc>
        <w:tc>
          <w:tcPr/>
          <w:p>
            <w:pPr>
              <w:pStyle w:val="Compact"/>
            </w:pPr>
            <w:r>
              <w:t xml:space="preserve">Disability claims continue to worsen</w:t>
            </w:r>
          </w:p>
        </w:tc>
      </w:tr>
      <w:tr>
        <w:tc>
          <w:tcPr/>
          <w:p>
            <w:pPr>
              <w:pStyle w:val="Compact"/>
            </w:pPr>
            <w:r>
              <w:t xml:space="preserve">Capital return remains unchanged</w:t>
            </w:r>
          </w:p>
        </w:tc>
        <w:tc>
          <w:tcPr/>
          <w:p>
            <w:pPr>
              <w:pStyle w:val="Compact"/>
            </w:pPr>
            <w:r>
              <w:t xml:space="preserve">Buybacks slow because of Japan or restructuring needs</w:t>
            </w:r>
          </w:p>
        </w:tc>
      </w:tr>
      <w:tr>
        <w:tc>
          <w:tcPr/>
          <w:p>
            <w:pPr>
              <w:pStyle w:val="Compact"/>
            </w:pPr>
            <w:r>
              <w:t xml:space="preserve">Legacy risks continue to decline</w:t>
            </w:r>
          </w:p>
        </w:tc>
        <w:tc>
          <w:tcPr/>
          <w:p>
            <w:pPr>
              <w:pStyle w:val="Compact"/>
            </w:pPr>
            <w:r>
              <w:t xml:space="preserve">GUL reserve or hedge issues create new volatility</w:t>
            </w:r>
          </w:p>
        </w:tc>
      </w:tr>
    </w:tbl>
    <w:bookmarkEnd w:id="25"/>
    <w:bookmarkStart w:id="26" w:name="bottom-line"/>
    <w:p>
      <w:pPr>
        <w:pStyle w:val="Heading2"/>
      </w:pPr>
      <w:r>
        <w:t xml:space="preserve">Bottom line</w:t>
      </w:r>
    </w:p>
    <w:p>
      <w:pPr>
        <w:pStyle w:val="FirstParagraph"/>
      </w:pPr>
      <w:r>
        <w:t xml:space="preserve">The disclosed actuarial and alternative-investment items suggest that the headline adjusted result may be slightly helped by net one-time items. That makes a superficial EPS beat less meaningful than usual.</w:t>
      </w:r>
    </w:p>
    <w:p>
      <w:pPr>
        <w:pStyle w:val="BodyText"/>
      </w:pPr>
      <w:r>
        <w:t xml:space="preserve">The bigger test is whether management can demonstrate that:</w:t>
      </w:r>
    </w:p>
    <w:p>
      <w:pPr>
        <w:pStyle w:val="Compact"/>
        <w:numPr>
          <w:ilvl w:val="0"/>
          <w:numId w:val="1008"/>
        </w:numPr>
      </w:pPr>
      <w:r>
        <w:rPr>
          <w:b/>
          <w:bCs/>
        </w:rPr>
        <w:t xml:space="preserve">Japan is contained and on schedule;</w:t>
      </w:r>
    </w:p>
    <w:p>
      <w:pPr>
        <w:pStyle w:val="Compact"/>
        <w:numPr>
          <w:ilvl w:val="0"/>
          <w:numId w:val="1008"/>
        </w:numPr>
      </w:pPr>
      <w:r>
        <w:rPr>
          <w:b/>
          <w:bCs/>
        </w:rPr>
        <w:t xml:space="preserve">PGIM and Retirement can support durable organic growth;</w:t>
      </w:r>
    </w:p>
    <w:p>
      <w:pPr>
        <w:pStyle w:val="Compact"/>
        <w:numPr>
          <w:ilvl w:val="0"/>
          <w:numId w:val="1008"/>
        </w:numPr>
      </w:pPr>
      <w:r>
        <w:rPr>
          <w:b/>
          <w:bCs/>
        </w:rPr>
        <w:t xml:space="preserve">the company is becoming simpler and more capital-efficient; and</w:t>
      </w:r>
    </w:p>
    <w:p>
      <w:pPr>
        <w:pStyle w:val="Compact"/>
        <w:numPr>
          <w:ilvl w:val="0"/>
          <w:numId w:val="1008"/>
        </w:numPr>
      </w:pPr>
      <w:r>
        <w:rPr>
          <w:b/>
          <w:bCs/>
        </w:rPr>
        <w:t xml:space="preserve">shareholder distributions remain secure.</w:t>
      </w:r>
    </w:p>
    <w:p>
      <w:pPr>
        <w:pStyle w:val="FirstParagraph"/>
      </w:pPr>
      <w:r>
        <w:t xml:space="preserve">A credible, target-driven strategy combined with unchanged Japan guidance would probably matter more than a modest quarterly beat. An extension of the Japan suspension—or a strategy presentation lacking hard financial commitments—would be difficult to offset with better-than-expected Q2 earnings.</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www.insurancejournal.com/news/national/2026/07/24/878971.htm?utm_source=openai" TargetMode="External" /><Relationship Type="http://schemas.openxmlformats.org/officeDocument/2006/relationships/hyperlink" Id="rId9" Target="https://www.investor.prudential.com/news/news-details/2026/Prudential-Financial-Inc--to-Announce-Second-Quarter-2026-Earnings-Schedules-Earnings-and-Strategy-Call/default.aspx?utm_source=openai" TargetMode="External" /><Relationship Type="http://schemas.openxmlformats.org/officeDocument/2006/relationships/hyperlink" Id="rId17" Target="https://www.sec.gov/Archives/edgar/data/1137774/000113777426000093/exhibit991-1q26earningspre.htm?utm_source=openai" TargetMode="External" /><Relationship Type="http://schemas.openxmlformats.org/officeDocument/2006/relationships/hyperlink" Id="rId13" Target="https://www.sec.gov/Archives/edgar/data/1137774/000113777426000095/pru-20260331.htm?utm_source=openai" TargetMode="External" /><Relationship Type="http://schemas.openxmlformats.org/officeDocument/2006/relationships/hyperlink" Id="rId11" Target="https://www.sec.gov/Archives/edgar/data/1137774/000113777426000157/pru-20260715.htm" TargetMode="External" /></Relationships>
</file>

<file path=word/_rels/footnotes.xml.rels><?xml version="1.0" encoding="UTF-8"?><Relationships xmlns="http://schemas.openxmlformats.org/package/2006/relationships"><Relationship Type="http://schemas.openxmlformats.org/officeDocument/2006/relationships/hyperlink" Id="rId14" Target="https://www.insurancejournal.com/news/national/2026/07/24/878971.htm?utm_source=openai" TargetMode="External" /><Relationship Type="http://schemas.openxmlformats.org/officeDocument/2006/relationships/hyperlink" Id="rId9" Target="https://www.investor.prudential.com/news/news-details/2026/Prudential-Financial-Inc--to-Announce-Second-Quarter-2026-Earnings-Schedules-Earnings-and-Strategy-Call/default.aspx?utm_source=openai" TargetMode="External" /><Relationship Type="http://schemas.openxmlformats.org/officeDocument/2006/relationships/hyperlink" Id="rId17" Target="https://www.sec.gov/Archives/edgar/data/1137774/000113777426000093/exhibit991-1q26earningspre.htm?utm_source=openai" TargetMode="External" /><Relationship Type="http://schemas.openxmlformats.org/officeDocument/2006/relationships/hyperlink" Id="rId13" Target="https://www.sec.gov/Archives/edgar/data/1137774/000113777426000095/pru-20260331.htm?utm_source=openai" TargetMode="External" /><Relationship Type="http://schemas.openxmlformats.org/officeDocument/2006/relationships/hyperlink" Id="rId11" Target="https://www.sec.gov/Archives/edgar/data/1137774/000113777426000157/pru-20260715.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2026-07-29T02:20:15Z</dcterms:created>
  <dcterms:modified xsi:type="dcterms:W3CDTF">2026-07-29T02:20:15Z</dcterms:modified>
</cp:coreProperties>
</file>

<file path=docProps/custom.xml><?xml version="1.0" encoding="utf-8"?>
<Properties xmlns="http://schemas.openxmlformats.org/officeDocument/2006/custom-properties" xmlns:vt="http://schemas.openxmlformats.org/officeDocument/2006/docPropsVTypes"/>
</file>