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7-29"/>
    <w:p>
      <w:pPr>
        <w:pStyle w:val="Heading1"/>
      </w:pPr>
      <w:r>
        <w:t xml:space="preserve">PRU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~$3.28 vs. cons $3.20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pre-tax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~$245M vs. cons $228M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Businesses pre-tax adjusted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~$625M vs. cons $670M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Prudential of Japan remediation and sales-suspension AOI impact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~$600M vs. cons $550M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margin-expansion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 bps vs. cons 100 bps (2027)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~$3.28 vs.</w:t>
            </w:r>
            <w:r>
              <w:t xml:space="preserve"> </w:t>
            </w:r>
            <m:oMath>
              <m:r>
                <m:t>3.20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 </m:t>
              </m:r>
            </m:oMath>
            <w:r>
              <w:t xml:space="preserve">600M vs. $550M FY2026 Japan-cost outlook; the implicit out-period earnings reset should pull estimates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2026-07-29T02:19:01Z</dcterms:created>
  <dcterms:modified xsi:type="dcterms:W3CDTF">2026-07-29T02:19:01Z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