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a3449aab4dea62f3bb05705cef98d07719f4a4"/>
    <w:p>
      <w:pPr>
        <w:pStyle w:val="Heading1"/>
      </w:pPr>
      <w:r>
        <w:t xml:space="preserve">Prudential Financial (NYSE: PRU) — 2Q26 Earnings Preview</w:t>
      </w:r>
    </w:p>
    <w:p>
      <w:pPr>
        <w:pStyle w:val="BlockText"/>
      </w:pPr>
      <w:r>
        <w:rPr>
          <w:b/>
          <w:bCs/>
        </w:rPr>
        <w:t xml:space="preserve">Calendar correction:</w:t>
      </w:r>
      <w:r>
        <w:t xml:space="preserve"> </w:t>
      </w:r>
      <w:r>
        <w:t xml:space="preserve">Although the event was labeled “2026Q4 Earnings Call” and described as occurring “tomorrow,” Prudential’s fiscal year ends December 31 and the forthcoming report is</w:t>
      </w:r>
      <w:r>
        <w:t xml:space="preserve"> </w:t>
      </w:r>
      <w:r>
        <w:rPr>
          <w:b/>
          <w:bCs/>
        </w:rPr>
        <w:t xml:space="preserve">2Q26</w:t>
      </w:r>
      <w:r>
        <w:t xml:space="preserve">. As of</w:t>
      </w:r>
      <w:r>
        <w:t xml:space="preserve"> </w:t>
      </w:r>
      <w:r>
        <w:rPr>
          <w:b/>
          <w:bCs/>
        </w:rPr>
        <w:t xml:space="preserve">Wednesday, July 29, 2026</w:t>
      </w:r>
      <w:r>
        <w:t xml:space="preserve">, PRU is scheduled to report</w:t>
      </w:r>
      <w:r>
        <w:t xml:space="preserve"> </w:t>
      </w:r>
      <w:r>
        <w:rPr>
          <w:b/>
          <w:bCs/>
        </w:rPr>
        <w:t xml:space="preserve">after the close on Tuesday, August 4, 2026</w:t>
      </w:r>
      <w:r>
        <w:t xml:space="preserve">, followed by an extended earnings and strategy call at</w:t>
      </w:r>
      <w:r>
        <w:t xml:space="preserve"> </w:t>
      </w:r>
      <w:r>
        <w:rPr>
          <w:b/>
          <w:bCs/>
        </w:rPr>
        <w:t xml:space="preserve">11:00 a.m. ET on Wednesday, August 5</w:t>
      </w:r>
      <w:r>
        <w:t xml:space="preserve">. (</w:t>
      </w:r>
      <w:hyperlink r:id="rId9">
        <w:r>
          <w:rPr>
            <w:rStyle w:val="Hyperlink"/>
          </w:rPr>
          <w:t xml:space="preserve">investor.prudential.com</w:t>
        </w:r>
      </w:hyperlink>
      <w:r>
        <w:t xml:space="preserve">)</w:t>
      </w:r>
    </w:p>
    <w:bookmarkStart w:id="11" w:name="X1187892fa44635b3ac1838ea218586a2c977386"/>
    <w:p>
      <w:pPr>
        <w:pStyle w:val="Heading2"/>
      </w:pPr>
      <w:r>
        <w:t xml:space="preserve">Investment view: the strategy update matters as much as the quarterly print</w:t>
      </w:r>
    </w:p>
    <w:p>
      <w:pPr>
        <w:pStyle w:val="FirstParagraph"/>
      </w:pPr>
      <w:r>
        <w:t xml:space="preserve">PRU has already substantially de-risked the near-term earnings setup by preannouncing several 2Q items. The more consequential catalyst is likely management’s promised strategy and long-term-vision update on the August 5 call: investors will want evidence that the company can concentrate capital behind</w:t>
      </w:r>
      <w:r>
        <w:t xml:space="preserve"> </w:t>
      </w:r>
      <w:r>
        <w:rPr>
          <w:b/>
          <w:bCs/>
        </w:rPr>
        <w:t xml:space="preserve">Retirement, PGIM/private assets, and selected insurance franchises</w:t>
      </w:r>
      <w:r>
        <w:t xml:space="preserve"> </w:t>
      </w:r>
      <w:r>
        <w:t xml:space="preserve">while containing the earnings and reputational drag from Prudential of Japan (POJ).</w:t>
      </w:r>
    </w:p>
    <w:p>
      <w:pPr>
        <w:pStyle w:val="BodyText"/>
      </w:pPr>
      <w:r>
        <w:t xml:space="preserve">The setup appears</w:t>
      </w:r>
      <w:r>
        <w:t xml:space="preserve"> </w:t>
      </w:r>
      <w:r>
        <w:rPr>
          <w:b/>
          <w:bCs/>
        </w:rPr>
        <w:t xml:space="preserve">constructive but not clean</w:t>
      </w:r>
      <w:r>
        <w:t xml:space="preserve">:</w:t>
      </w:r>
    </w:p>
    <w:p>
      <w:pPr>
        <w:pStyle w:val="Compact"/>
        <w:numPr>
          <w:ilvl w:val="0"/>
          <w:numId w:val="1001"/>
        </w:numPr>
      </w:pPr>
      <w:r>
        <w:rPr>
          <w:b/>
          <w:bCs/>
        </w:rPr>
        <w:t xml:space="preserve">Constructive:</w:t>
      </w:r>
      <w:r>
        <w:t xml:space="preserve"> </w:t>
      </w:r>
      <w:r>
        <w:t xml:space="preserve">PGIM AUM reached</w:t>
      </w:r>
      <w:r>
        <w:t xml:space="preserve"> </w:t>
      </w:r>
      <m:oMath>
        <m:r>
          <m:t>1.49</m:t>
        </m:r>
        <m:r>
          <m:t>t</m:t>
        </m:r>
        <m:r>
          <m:t>r</m:t>
        </m:r>
        <m:r>
          <m:t>i</m:t>
        </m:r>
        <m:r>
          <m:t>l</m:t>
        </m:r>
        <m:r>
          <m:t>l</m:t>
        </m:r>
        <m:r>
          <m:t>i</m:t>
        </m:r>
        <m:r>
          <m:t>o</m:t>
        </m:r>
        <m:r>
          <m:t>n</m:t>
        </m:r>
        <m:r>
          <m:rPr>
            <m:sty m:val="p"/>
          </m:rPr>
          <m:t>*</m:t>
        </m:r>
        <m:r>
          <m:rPr>
            <m:sty m:val="p"/>
          </m:rPr>
          <m:t>*</m:t>
        </m:r>
        <m:r>
          <m:t>a</m:t>
        </m:r>
        <m:r>
          <m:t>t</m:t>
        </m:r>
        <m:r>
          <m:t>J</m:t>
        </m:r>
        <m:r>
          <m:t>u</m:t>
        </m:r>
        <m:r>
          <m:t>n</m:t>
        </m:r>
        <m:r>
          <m:t>e</m:t>
        </m:r>
        <m:r>
          <m:t>30</m:t>
        </m:r>
        <m:r>
          <m:rPr>
            <m:sty m:val="p"/>
          </m:rPr>
          <m:t>,</m:t>
        </m:r>
        <m:r>
          <m:t>a</m:t>
        </m:r>
        <m:r>
          <m:t>n</m:t>
        </m:r>
        <m:r>
          <m:t>e</m:t>
        </m:r>
        <m:r>
          <m:t>n</m:t>
        </m:r>
        <m:r>
          <m:t>c</m:t>
        </m:r>
        <m:r>
          <m:t>o</m:t>
        </m:r>
        <m:r>
          <m:t>u</m:t>
        </m:r>
        <m:r>
          <m:t>r</m:t>
        </m:r>
        <m:r>
          <m:t>a</m:t>
        </m:r>
        <m:r>
          <m:t>g</m:t>
        </m:r>
        <m:r>
          <m:t>i</m:t>
        </m:r>
        <m:r>
          <m:t>n</m:t>
        </m:r>
        <m:r>
          <m:t>g</m:t>
        </m:r>
        <m:r>
          <m:t>b</m:t>
        </m:r>
        <m:r>
          <m:t>a</m:t>
        </m:r>
        <m:r>
          <m:t>s</m:t>
        </m:r>
        <m:r>
          <m:t>e</m:t>
        </m:r>
        <m:r>
          <m:t>f</m:t>
        </m:r>
        <m:r>
          <m:t>o</m:t>
        </m:r>
        <m:r>
          <m:t>r</m:t>
        </m:r>
        <m:r>
          <m:t>f</m:t>
        </m:r>
        <m:r>
          <m:t>e</m:t>
        </m:r>
        <m:r>
          <m:t>e</m:t>
        </m:r>
        <m:r>
          <m:t>r</m:t>
        </m:r>
        <m:r>
          <m:t>e</m:t>
        </m:r>
        <m:r>
          <m:t>v</m:t>
        </m:r>
        <m:r>
          <m:t>e</m:t>
        </m:r>
        <m:r>
          <m:t>n</m:t>
        </m:r>
        <m:r>
          <m:t>u</m:t>
        </m:r>
        <m:r>
          <m:t>e</m:t>
        </m:r>
        <m:r>
          <m:rPr>
            <m:sty m:val="p"/>
          </m:rPr>
          <m:t>;</m:t>
        </m:r>
        <m:r>
          <m:t>t</m:t>
        </m:r>
        <m:r>
          <m:t>h</m:t>
        </m:r>
        <m:r>
          <m:t>e</m:t>
        </m:r>
        <m:r>
          <m:t>c</m:t>
        </m:r>
        <m:r>
          <m:t>o</m:t>
        </m:r>
        <m:r>
          <m:t>m</m:t>
        </m:r>
        <m:r>
          <m:t>p</m:t>
        </m:r>
        <m:r>
          <m:t>a</m:t>
        </m:r>
        <m:r>
          <m:t>n</m:t>
        </m:r>
        <m:r>
          <m:t>y</m:t>
        </m:r>
        <m:r>
          <m:t>a</m:t>
        </m:r>
        <m:r>
          <m:t>l</m:t>
        </m:r>
        <m:r>
          <m:t>s</m:t>
        </m:r>
        <m:r>
          <m:t>o</m:t>
        </m:r>
        <m:r>
          <m:t>f</m:t>
        </m:r>
        <m:r>
          <m:t>l</m:t>
        </m:r>
        <m:r>
          <m:t>a</m:t>
        </m:r>
        <m:r>
          <m:t>g</m:t>
        </m:r>
        <m:r>
          <m:t>g</m:t>
        </m:r>
        <m:r>
          <m:t>e</m:t>
        </m:r>
        <m:r>
          <m:t>d</m:t>
        </m:r>
        <m:r>
          <m:t>r</m:t>
        </m:r>
        <m:r>
          <m:t>o</m:t>
        </m:r>
        <m:r>
          <m:t>u</m:t>
        </m:r>
        <m:r>
          <m:t>g</m:t>
        </m:r>
        <m:r>
          <m:t>h</m:t>
        </m:r>
        <m:r>
          <m:t>l</m:t>
        </m:r>
        <m:r>
          <m:t>y</m:t>
        </m:r>
        <m:r>
          <m:rPr>
            <m:sty m:val="p"/>
          </m:rPr>
          <m:t>*</m:t>
        </m:r>
        <m:r>
          <m:rPr>
            <m:sty m:val="p"/>
          </m:rPr>
          <m:t>*</m:t>
        </m:r>
      </m:oMath>
      <w:r>
        <w:rPr>
          <w:b/>
          <w:bCs/>
        </w:rPr>
        <w:t xml:space="preserve">60 million</w:t>
      </w:r>
      <w:r>
        <w:t xml:space="preserve"> </w:t>
      </w:r>
      <w:r>
        <w:t xml:space="preserve">of PGIM “other related revenues,” including incentive, transaction, seed/co-investment, and mortgage-origination revenues. (</w:t>
      </w:r>
      <w:hyperlink r:id="rId10">
        <w:r>
          <w:rPr>
            <w:rStyle w:val="Hyperlink"/>
          </w:rPr>
          <w:t xml:space="preserve">sec.gov</w:t>
        </w:r>
      </w:hyperlink>
      <w:r>
        <w:t xml:space="preserve">)</w:t>
      </w:r>
    </w:p>
    <w:p>
      <w:pPr>
        <w:pStyle w:val="Compact"/>
        <w:numPr>
          <w:ilvl w:val="0"/>
          <w:numId w:val="1001"/>
        </w:numPr>
      </w:pPr>
      <w:r>
        <w:rPr>
          <w:b/>
          <w:bCs/>
        </w:rPr>
        <w:t xml:space="preserve">Offset:</w:t>
      </w:r>
      <w:r>
        <w:t xml:space="preserve"> </w:t>
      </w:r>
      <w:r>
        <w:t xml:space="preserve">General-account alternative-investment income is expected to be</w:t>
      </w:r>
      <w:r>
        <w:t xml:space="preserve"> </w:t>
      </w:r>
      <m:oMath>
        <m:r>
          <m:t>20</m:t>
        </m:r>
        <m:r>
          <m:rPr>
            <m:sty m:val="p"/>
          </m:rPr>
          <m:t>–</m:t>
        </m:r>
      </m:oMath>
      <w:r>
        <w:rPr>
          <w:b/>
          <w:bCs/>
        </w:rPr>
        <w:t xml:space="preserve">40 million below near-term expectations</w:t>
      </w:r>
      <w:r>
        <w:t xml:space="preserve">, an important reminder that investment variability still matters in the operating result. (</w:t>
      </w:r>
      <w:hyperlink r:id="rId10">
        <w:r>
          <w:rPr>
            <w:rStyle w:val="Hyperlink"/>
          </w:rPr>
          <w:t xml:space="preserve">sec.gov</w:t>
        </w:r>
      </w:hyperlink>
      <w:r>
        <w:t xml:space="preserve">)</w:t>
      </w:r>
    </w:p>
    <w:p>
      <w:pPr>
        <w:pStyle w:val="Compact"/>
        <w:numPr>
          <w:ilvl w:val="0"/>
          <w:numId w:val="1001"/>
        </w:numPr>
      </w:pPr>
      <w:r>
        <w:rPr>
          <w:b/>
          <w:bCs/>
        </w:rPr>
        <w:t xml:space="preserve">Accounting tailwind, not a run-rate tailwind:</w:t>
      </w:r>
      <w:r>
        <w:t xml:space="preserve"> </w:t>
      </w:r>
      <w:r>
        <w:t xml:space="preserve">PRU preannounced a net</w:t>
      </w:r>
      <w:r>
        <w:t xml:space="preserve"> </w:t>
      </w:r>
      <w:r>
        <w:rPr>
          <w:b/>
          <w:bCs/>
        </w:rPr>
        <w:t xml:space="preserve">+</w:t>
      </w:r>
      <m:oMath>
        <m:r>
          <m:t>65</m:t>
        </m:r>
        <m:r>
          <m:t>m</m:t>
        </m:r>
        <m:r>
          <m:t>i</m:t>
        </m:r>
        <m:r>
          <m:t>l</m:t>
        </m:r>
        <m:r>
          <m:t>l</m:t>
        </m:r>
        <m:r>
          <m:t>i</m:t>
        </m:r>
        <m:r>
          <m:t>o</m:t>
        </m:r>
        <m:r>
          <m:t>n</m:t>
        </m:r>
        <m:r>
          <m:t>p</m:t>
        </m:r>
        <m:r>
          <m:t>r</m:t>
        </m:r>
        <m:r>
          <m:t>e</m:t>
        </m:r>
        <m:r>
          <m:rPr>
            <m:sty m:val="p"/>
          </m:rPr>
          <m:t>−</m:t>
        </m:r>
        <m:r>
          <m:t>t</m:t>
        </m:r>
        <m:r>
          <m:t>a</m:t>
        </m:r>
        <m:r>
          <m:t>x</m:t>
        </m:r>
        <m:r>
          <m:t>A</m:t>
        </m:r>
        <m:r>
          <m:t>O</m:t>
        </m:r>
        <m:r>
          <m:t>I</m:t>
        </m:r>
        <m:r>
          <m:rPr>
            <m:sty m:val="p"/>
          </m:rPr>
          <m:t>*</m:t>
        </m:r>
        <m:r>
          <m:rPr>
            <m:sty m:val="p"/>
          </m:rPr>
          <m:t>*</m:t>
        </m:r>
        <m:r>
          <m:t>b</m:t>
        </m:r>
        <m:r>
          <m:t>e</m:t>
        </m:r>
        <m:r>
          <m:t>n</m:t>
        </m:r>
        <m:r>
          <m:t>e</m:t>
        </m:r>
        <m:r>
          <m:t>f</m:t>
        </m:r>
        <m:r>
          <m:t>i</m:t>
        </m:r>
        <m:r>
          <m:t>t</m:t>
        </m:r>
        <m:r>
          <m:t>f</m:t>
        </m:r>
        <m:r>
          <m:t>r</m:t>
        </m:r>
        <m:r>
          <m:t>o</m:t>
        </m:r>
        <m:r>
          <m:t>m</m:t>
        </m:r>
        <m:r>
          <m:t>i</m:t>
        </m:r>
        <m:r>
          <m:t>t</m:t>
        </m:r>
        <m:r>
          <m:t>s</m:t>
        </m:r>
        <m:r>
          <m:t>a</m:t>
        </m:r>
        <m:r>
          <m:t>n</m:t>
        </m:r>
        <m:r>
          <m:t>n</m:t>
        </m:r>
        <m:r>
          <m:t>u</m:t>
        </m:r>
        <m:r>
          <m:t>a</m:t>
        </m:r>
        <m:r>
          <m:t>l</m:t>
        </m:r>
        <m:r>
          <m:t>a</m:t>
        </m:r>
        <m:r>
          <m:t>c</m:t>
        </m:r>
        <m:r>
          <m:t>t</m:t>
        </m:r>
        <m:r>
          <m:t>u</m:t>
        </m:r>
        <m:r>
          <m:t>a</m:t>
        </m:r>
        <m:r>
          <m:t>r</m:t>
        </m:r>
        <m:r>
          <m:t>i</m:t>
        </m:r>
        <m:r>
          <m:t>a</m:t>
        </m:r>
        <m:r>
          <m:t>l</m:t>
        </m:r>
        <m:r>
          <m:rPr>
            <m:sty m:val="p"/>
          </m:rPr>
          <m:t>−</m:t>
        </m:r>
        <m:r>
          <m:t>a</m:t>
        </m:r>
        <m:r>
          <m:t>s</m:t>
        </m:r>
        <m:r>
          <m:t>s</m:t>
        </m:r>
        <m:r>
          <m:t>u</m:t>
        </m:r>
        <m:r>
          <m:t>m</m:t>
        </m:r>
        <m:r>
          <m:t>p</m:t>
        </m:r>
        <m:r>
          <m:t>t</m:t>
        </m:r>
        <m:r>
          <m:t>i</m:t>
        </m:r>
        <m:r>
          <m:t>o</m:t>
        </m:r>
        <m:r>
          <m:t>n</m:t>
        </m:r>
        <m:r>
          <m:t>u</m:t>
        </m:r>
        <m:r>
          <m:t>p</m:t>
        </m:r>
        <m:r>
          <m:t>d</m:t>
        </m:r>
        <m:r>
          <m:t>a</m:t>
        </m:r>
        <m:r>
          <m:t>t</m:t>
        </m:r>
        <m:r>
          <m:t>e</m:t>
        </m:r>
        <m:r>
          <m:t>a</m:t>
        </m:r>
        <m:r>
          <m:t>n</m:t>
        </m:r>
        <m:r>
          <m:t>d</m:t>
        </m:r>
        <m:r>
          <m:t>r</m:t>
        </m:r>
        <m:r>
          <m:t>e</m:t>
        </m:r>
        <m:r>
          <m:t>f</m:t>
        </m:r>
        <m:r>
          <m:t>i</m:t>
        </m:r>
        <m:r>
          <m:t>n</m:t>
        </m:r>
        <m:r>
          <m:t>e</m:t>
        </m:r>
        <m:r>
          <m:t>m</m:t>
        </m:r>
        <m:r>
          <m:t>e</m:t>
        </m:r>
        <m:r>
          <m:t>n</m:t>
        </m:r>
        <m:r>
          <m:t>t</m:t>
        </m:r>
        <m:r>
          <m:t>s</m:t>
        </m:r>
        <m:r>
          <m:rPr>
            <m:sty m:val="p"/>
          </m:rPr>
          <m:t>:</m:t>
        </m:r>
        <m:r>
          <m:t>R</m:t>
        </m:r>
        <m:r>
          <m:t>e</m:t>
        </m:r>
        <m:r>
          <m:t>t</m:t>
        </m:r>
        <m:r>
          <m:t>i</m:t>
        </m:r>
        <m:r>
          <m:t>r</m:t>
        </m:r>
        <m:r>
          <m:t>e</m:t>
        </m:r>
        <m:r>
          <m:t>m</m:t>
        </m:r>
        <m:r>
          <m:t>e</m:t>
        </m:r>
        <m:r>
          <m:t>n</m:t>
        </m:r>
        <m:r>
          <m:t>t</m:t>
        </m:r>
        <m:r>
          <m:rPr>
            <m:sty m:val="p"/>
          </m:rPr>
          <m:t>*</m:t>
        </m:r>
        <m:r>
          <m:rPr>
            <m:sty m:val="p"/>
          </m:rPr>
          <m:t>*</m:t>
        </m:r>
        <m:r>
          <m:rPr>
            <m:sty m:val="p"/>
          </m:rPr>
          <m:t>–</m:t>
        </m:r>
      </m:oMath>
      <w:r>
        <w:rPr>
          <w:b/>
          <w:bCs/>
        </w:rPr>
        <w:t xml:space="preserve">90 million</w:t>
      </w:r>
      <w:r>
        <w:t xml:space="preserve">, offset by International</w:t>
      </w:r>
      <w:r>
        <w:t xml:space="preserve"> </w:t>
      </w:r>
      <w:r>
        <w:rPr>
          <w:b/>
          <w:bCs/>
        </w:rPr>
        <w:t xml:space="preserve">+</w:t>
      </w:r>
      <m:oMath>
        <m:r>
          <m:t>80</m:t>
        </m:r>
        <m:r>
          <m:t>m</m:t>
        </m:r>
        <m:r>
          <m:t>i</m:t>
        </m:r>
        <m:r>
          <m:t>l</m:t>
        </m:r>
        <m:r>
          <m:t>l</m:t>
        </m:r>
        <m:r>
          <m:t>i</m:t>
        </m:r>
        <m:r>
          <m:t>o</m:t>
        </m:r>
        <m:r>
          <m:t>n</m:t>
        </m:r>
        <m:r>
          <m:rPr>
            <m:sty m:val="p"/>
          </m:rPr>
          <m:t>*</m:t>
        </m:r>
        <m:r>
          <m:rPr>
            <m:sty m:val="p"/>
          </m:rPr>
          <m:t>*</m:t>
        </m:r>
        <m:r>
          <m:rPr>
            <m:sty m:val="p"/>
          </m:rPr>
          <m:t>,</m:t>
        </m:r>
        <m:r>
          <m:t>G</m:t>
        </m:r>
        <m:r>
          <m:t>r</m:t>
        </m:r>
        <m:r>
          <m:t>o</m:t>
        </m:r>
        <m:r>
          <m:t>u</m:t>
        </m:r>
        <m:r>
          <m:t>p</m:t>
        </m:r>
        <m:r>
          <m:rPr>
            <m:sty m:val="p"/>
          </m:rPr>
          <m:t>*</m:t>
        </m:r>
        <m:r>
          <m:rPr>
            <m:sty m:val="p"/>
          </m:rPr>
          <m:t>*</m:t>
        </m:r>
        <m:r>
          <m:rPr>
            <m:sty m:val="p"/>
          </m:rPr>
          <m:t>+</m:t>
        </m:r>
      </m:oMath>
      <w:r>
        <w:rPr>
          <w:b/>
          <w:bCs/>
        </w:rPr>
        <w:t xml:space="preserve">30 million</w:t>
      </w:r>
      <w:r>
        <w:t xml:space="preserve">, Individual Life</w:t>
      </w:r>
      <w:r>
        <w:t xml:space="preserve"> </w:t>
      </w:r>
      <w:r>
        <w:rPr>
          <w:b/>
          <w:bCs/>
        </w:rPr>
        <w:t xml:space="preserve">+</w:t>
      </w:r>
      <m:oMath>
        <m:r>
          <m:t>30</m:t>
        </m:r>
        <m:r>
          <m:t>m</m:t>
        </m:r>
        <m:r>
          <m:t>i</m:t>
        </m:r>
        <m:r>
          <m:t>l</m:t>
        </m:r>
        <m:r>
          <m:t>l</m:t>
        </m:r>
        <m:r>
          <m:t>i</m:t>
        </m:r>
        <m:r>
          <m:t>o</m:t>
        </m:r>
        <m:r>
          <m:t>n</m:t>
        </m:r>
        <m:r>
          <m:rPr>
            <m:sty m:val="p"/>
          </m:rPr>
          <m:t>*</m:t>
        </m:r>
        <m:r>
          <m:rPr>
            <m:sty m:val="p"/>
          </m:rPr>
          <m:t>*</m:t>
        </m:r>
        <m:r>
          <m:rPr>
            <m:sty m:val="p"/>
          </m:rPr>
          <m:t>,</m:t>
        </m:r>
        <m:r>
          <m:t>a</m:t>
        </m:r>
        <m:r>
          <m:t>n</m:t>
        </m:r>
        <m:r>
          <m:t>d</m:t>
        </m:r>
        <m:r>
          <m:t>U</m:t>
        </m:r>
        <m:r>
          <m:rPr>
            <m:sty m:val="p"/>
          </m:rPr>
          <m:t>.</m:t>
        </m:r>
        <m:r>
          <m:t>S</m:t>
        </m:r>
        <m:r>
          <m:rPr>
            <m:sty m:val="p"/>
          </m:rPr>
          <m:t>.</m:t>
        </m:r>
        <m:r>
          <m:t>L</m:t>
        </m:r>
        <m:r>
          <m:t>e</m:t>
        </m:r>
        <m:r>
          <m:t>g</m:t>
        </m:r>
        <m:r>
          <m:t>a</m:t>
        </m:r>
        <m:r>
          <m:t>c</m:t>
        </m:r>
        <m:r>
          <m:t>y</m:t>
        </m:r>
        <m:r>
          <m:rPr>
            <m:sty m:val="p"/>
          </m:rPr>
          <m:t>*</m:t>
        </m:r>
        <m:r>
          <m:rPr>
            <m:sty m:val="p"/>
          </m:rPr>
          <m:t>*</m:t>
        </m:r>
        <m:r>
          <m:rPr>
            <m:sty m:val="p"/>
          </m:rPr>
          <m:t>+</m:t>
        </m:r>
      </m:oMath>
      <w:r>
        <w:rPr>
          <w:b/>
          <w:bCs/>
        </w:rPr>
        <w:t xml:space="preserve">15 million</w:t>
      </w:r>
      <w:r>
        <w:t xml:space="preserve">. Management explicitly says it does</w:t>
      </w:r>
      <w:r>
        <w:t xml:space="preserve"> </w:t>
      </w:r>
      <w:r>
        <w:rPr>
          <w:b/>
          <w:bCs/>
        </w:rPr>
        <w:t xml:space="preserve">not</w:t>
      </w:r>
      <w:r>
        <w:t xml:space="preserve"> </w:t>
      </w:r>
      <w:r>
        <w:t xml:space="preserve">expect material ongoing AOI effects from these updates. (</w:t>
      </w:r>
      <w:hyperlink r:id="rId10">
        <w:r>
          <w:rPr>
            <w:rStyle w:val="Hyperlink"/>
          </w:rPr>
          <w:t xml:space="preserve">sec.gov</w:t>
        </w:r>
      </w:hyperlink>
      <w:r>
        <w:t xml:space="preserve">)</w:t>
      </w:r>
    </w:p>
    <w:p>
      <w:pPr>
        <w:pStyle w:val="FirstParagraph"/>
      </w:pPr>
      <w:r>
        <w:rPr>
          <w:b/>
          <w:bCs/>
        </w:rPr>
        <w:t xml:space="preserve">Netting the disclosed items mechanically</w:t>
      </w:r>
      <w:r>
        <w:t xml:space="preserve"> </w:t>
      </w:r>
      <w:r>
        <w:t xml:space="preserve">implies a roughly</w:t>
      </w:r>
      <w:r>
        <w:t xml:space="preserve"> </w:t>
      </w:r>
      <w:r>
        <w:rPr>
          <w:b/>
          <w:bCs/>
        </w:rPr>
        <w:t xml:space="preserve">+</w:t>
      </w:r>
      <m:oMath>
        <m:r>
          <m:t>25</m:t>
        </m:r>
        <m:r>
          <m:rPr>
            <m:sty m:val="p"/>
          </m:rPr>
          <m:t>–</m:t>
        </m:r>
      </m:oMath>
      <w:r>
        <w:rPr>
          <w:b/>
          <w:bCs/>
        </w:rPr>
        <w:t xml:space="preserve">45 million pre-tax</w:t>
      </w:r>
      <w:r>
        <w:t xml:space="preserve"> </w:t>
      </w:r>
      <w:r>
        <w:t xml:space="preserve">benefit versus PRU’s unspecified “near-term expectations,” before all other quarter-specific experience, sales, expenses, and market items. That is useful for parsing the headline result, but it should not be mistaken for recurring earnings improvement. (</w:t>
      </w:r>
      <w:hyperlink r:id="rId10">
        <w:r>
          <w:rPr>
            <w:rStyle w:val="Hyperlink"/>
          </w:rPr>
          <w:t xml:space="preserve">sec.gov</w:t>
        </w:r>
      </w:hyperlink>
      <w:r>
        <w:t xml:space="preserve">)</w:t>
      </w:r>
    </w:p>
    <w:p>
      <w:r>
        <w:pict>
          <v:rect style="width:0;height:1.5pt" o:hralign="center" o:hrstd="t" o:hr="t"/>
        </w:pict>
      </w:r>
    </w:p>
    <w:bookmarkEnd w:id="11"/>
    <w:bookmarkStart w:id="18" w:name="what-matters-most"/>
    <w:p>
      <w:pPr>
        <w:pStyle w:val="Heading2"/>
      </w:pPr>
      <w:r>
        <w:t xml:space="preserve">What matters most</w:t>
      </w:r>
    </w:p>
    <w:bookmarkStart w:id="12" w:name="X4bd579d370005d3c11ecd9ad2c25d6792b7e4b8"/>
    <w:p>
      <w:pPr>
        <w:pStyle w:val="Heading3"/>
      </w:pPr>
      <w:r>
        <w:t xml:space="preserve">1. The August strategy reset: focus, capital allocation, and measurable targets</w:t>
      </w:r>
    </w:p>
    <w:p>
      <w:pPr>
        <w:pStyle w:val="FirstParagraph"/>
      </w:pPr>
      <w:r>
        <w:t xml:space="preserve">At 1Q, management said it was early in a business-mix shift and highlighted exiting subscale or non-core operations, while pointing to Retirement and asset management as areas in which PRU intends to lean in. It also indicated that the 2Q call would provide more detail on the long-term vision.</w:t>
      </w:r>
    </w:p>
    <w:p>
      <w:pPr>
        <w:pStyle w:val="BodyText"/>
      </w:pPr>
      <w:r>
        <w:t xml:space="preserve">For investors, the critical question is whether the strategy update moves beyond broad themes into</w:t>
      </w:r>
      <w:r>
        <w:t xml:space="preserve"> </w:t>
      </w:r>
      <w:r>
        <w:rPr>
          <w:b/>
          <w:bCs/>
        </w:rPr>
        <w:t xml:space="preserve">financial commitments</w:t>
      </w:r>
      <w:r>
        <w:t xml:space="preserve">:</w:t>
      </w:r>
    </w:p>
    <w:p>
      <w:pPr>
        <w:pStyle w:val="Compact"/>
        <w:numPr>
          <w:ilvl w:val="0"/>
          <w:numId w:val="1002"/>
        </w:numPr>
      </w:pPr>
      <w:r>
        <w:t xml:space="preserve">What portfolio actions are planned, and what businesses or geographies are considered non-core?</w:t>
      </w:r>
    </w:p>
    <w:p>
      <w:pPr>
        <w:pStyle w:val="Compact"/>
        <w:numPr>
          <w:ilvl w:val="0"/>
          <w:numId w:val="1002"/>
        </w:numPr>
      </w:pPr>
      <w:r>
        <w:t xml:space="preserve">What are the earnings, capital-release, and cash-flow implications?</w:t>
      </w:r>
    </w:p>
    <w:p>
      <w:pPr>
        <w:pStyle w:val="Compact"/>
        <w:numPr>
          <w:ilvl w:val="0"/>
          <w:numId w:val="1002"/>
        </w:numPr>
      </w:pPr>
      <w:r>
        <w:t xml:space="preserve">How much of the resulting capacity will go to reinvestment, dividends, buybacks, debt reduction, or acquisitions?</w:t>
      </w:r>
    </w:p>
    <w:p>
      <w:pPr>
        <w:pStyle w:val="Compact"/>
        <w:numPr>
          <w:ilvl w:val="0"/>
          <w:numId w:val="1002"/>
        </w:numPr>
      </w:pPr>
      <w:r>
        <w:t xml:space="preserve">Can PRU define a path to more durable fee income at PGIM and recurring spread income in Retirement?</w:t>
      </w:r>
    </w:p>
    <w:p>
      <w:pPr>
        <w:pStyle w:val="Compact"/>
        <w:numPr>
          <w:ilvl w:val="0"/>
          <w:numId w:val="1002"/>
        </w:numPr>
      </w:pPr>
      <w:r>
        <w:t xml:space="preserve">Does management provide a clear timeline for enterprise expense efficiencies, which it previously suggested should become more visible in 2027?</w:t>
      </w:r>
    </w:p>
    <w:p>
      <w:pPr>
        <w:pStyle w:val="FirstParagraph"/>
      </w:pPr>
      <w:r>
        <w:t xml:space="preserve">A credible set of milestones would likely matter more to the stock than a modest adjusted-EPS beat.</w:t>
      </w:r>
    </w:p>
    <w:bookmarkEnd w:id="12"/>
    <w:bookmarkStart w:id="14" w:name="Xd57a8525000d01708373713be4e3690e22cc0ae"/>
    <w:p>
      <w:pPr>
        <w:pStyle w:val="Heading3"/>
      </w:pPr>
      <w:r>
        <w:t xml:space="preserve">2. POJ remediation: no longer just a one-quarter issue</w:t>
      </w:r>
    </w:p>
    <w:p>
      <w:pPr>
        <w:pStyle w:val="FirstParagraph"/>
      </w:pPr>
      <w:r>
        <w:t xml:space="preserve">The Japanese sales suspension remains the principal fundamental and governance overhang. POJ’s new-sales suspension was extended through</w:t>
      </w:r>
      <w:r>
        <w:t xml:space="preserve"> </w:t>
      </w:r>
      <w:r>
        <w:rPr>
          <w:b/>
          <w:bCs/>
        </w:rPr>
        <w:t xml:space="preserve">November 5, 2026</w:t>
      </w:r>
      <w:r>
        <w:t xml:space="preserve">, as the company works through changes to governance, sales conduct, compensation, and the Life Planner operating model. Existing-policy servicing is unaffected, but the length of the suspension creates pressure on new-business economics and raises the risk of a slower eventual sales recovery. (</w:t>
      </w:r>
      <w:hyperlink r:id="rId13">
        <w:r>
          <w:rPr>
            <w:rStyle w:val="Hyperlink"/>
          </w:rPr>
          <w:t xml:space="preserve">sec.gov</w:t>
        </w:r>
      </w:hyperlink>
      <w:r>
        <w:t xml:space="preserve">)</w:t>
      </w:r>
    </w:p>
    <w:p>
      <w:pPr>
        <w:pStyle w:val="BodyText"/>
      </w:pPr>
      <w:r>
        <w:t xml:space="preserve">In 1Q, PRU estimated the full-year 2026 pre-tax AOI impact of the POJ situation at</w:t>
      </w:r>
      <w:r>
        <w:t xml:space="preserve"> </w:t>
      </w:r>
      <m:oMath>
        <m:r>
          <m:t>525</m:t>
        </m:r>
        <m:r>
          <m:rPr>
            <m:sty m:val="p"/>
          </m:rPr>
          <m:t>–</m:t>
        </m:r>
      </m:oMath>
      <w:r>
        <w:rPr>
          <w:b/>
          <w:bCs/>
        </w:rPr>
        <w:t xml:space="preserve">575 million</w:t>
      </w:r>
      <w:r>
        <w:t xml:space="preserve">, including reimbursements, Life Planner support, lower sales, and elevated surrenders. Management said the impact would build through the year rather than occur evenly quarter to quarter. Therefore, 2Q should carry more visible Japan pressure than 1Q. The key issues on the call:</w:t>
      </w:r>
    </w:p>
    <w:p>
      <w:pPr>
        <w:pStyle w:val="Compact"/>
        <w:numPr>
          <w:ilvl w:val="0"/>
          <w:numId w:val="1003"/>
        </w:numPr>
      </w:pPr>
      <w:r>
        <w:t xml:space="preserve">Is the company still comfortable with the</w:t>
      </w:r>
      <w:r>
        <w:t xml:space="preserve"> </w:t>
      </w:r>
      <m:oMath>
        <m:r>
          <m:t>525</m:t>
        </m:r>
        <m:r>
          <m:rPr>
            <m:sty m:val="p"/>
          </m:rPr>
          <m:t>–</m:t>
        </m:r>
      </m:oMath>
      <w:r>
        <w:rPr>
          <w:b/>
          <w:bCs/>
        </w:rPr>
        <w:t xml:space="preserve">575 million</w:t>
      </w:r>
      <w:r>
        <w:t xml:space="preserve"> </w:t>
      </w:r>
      <w:r>
        <w:t xml:space="preserve">2026 AOI-impact range?</w:t>
      </w:r>
    </w:p>
    <w:p>
      <w:pPr>
        <w:pStyle w:val="Compact"/>
        <w:numPr>
          <w:ilvl w:val="0"/>
          <w:numId w:val="1003"/>
        </w:numPr>
      </w:pPr>
      <w:r>
        <w:t xml:space="preserve">Are Life Planner retention, lapses/surrenders, and reimbursement claims tracking management’s assumptions?</w:t>
      </w:r>
    </w:p>
    <w:p>
      <w:pPr>
        <w:pStyle w:val="Compact"/>
        <w:numPr>
          <w:ilvl w:val="0"/>
          <w:numId w:val="1003"/>
        </w:numPr>
      </w:pPr>
      <w:r>
        <w:t xml:space="preserve">Is there a credible plan—and a realistic timetable—for sales resumption after November 5?</w:t>
      </w:r>
    </w:p>
    <w:p>
      <w:pPr>
        <w:pStyle w:val="Compact"/>
        <w:numPr>
          <w:ilvl w:val="0"/>
          <w:numId w:val="1003"/>
        </w:numPr>
      </w:pPr>
      <w:r>
        <w:t xml:space="preserve">Is Gibraltar Life insulated operationally and reputationally from the POJ episode?</w:t>
      </w:r>
    </w:p>
    <w:p>
      <w:pPr>
        <w:pStyle w:val="FirstParagraph"/>
      </w:pPr>
      <w:r>
        <w:t xml:space="preserve">The company’s July 24 reimbursement update showed that remediation remains active, with additional customer inquiries and reimbursements under review. That reduces uncertainty only incrementally; investors will be focused on whether total costs and duration remain bounded.</w:t>
      </w:r>
    </w:p>
    <w:bookmarkEnd w:id="14"/>
    <w:bookmarkStart w:id="15" w:name="X2e11912057255a667cb8320a4442d3f5e4eb9a6"/>
    <w:p>
      <w:pPr>
        <w:pStyle w:val="Heading3"/>
      </w:pPr>
      <w:r>
        <w:t xml:space="preserve">3. PGIM: AUM is supportive, but flows, margins, and private assets determine quality</w:t>
      </w:r>
    </w:p>
    <w:p>
      <w:pPr>
        <w:pStyle w:val="FirstParagraph"/>
      </w:pPr>
      <w:r>
        <w:t xml:space="preserve">PGIM is central to PRU’s desired re-rating because it offers fee-related earnings, strategic synergies with the insurer, and a platform for private credit and asset-backed finance. The June-quarter AUM figure of</w:t>
      </w:r>
      <w:r>
        <w:t xml:space="preserve"> </w:t>
      </w:r>
      <m:oMath>
        <m:r>
          <m:t>1.49</m:t>
        </m:r>
        <m:r>
          <m:t>t</m:t>
        </m:r>
        <m:r>
          <m:t>r</m:t>
        </m:r>
        <m:r>
          <m:t>i</m:t>
        </m:r>
        <m:r>
          <m:t>l</m:t>
        </m:r>
        <m:r>
          <m:t>l</m:t>
        </m:r>
        <m:r>
          <m:t>i</m:t>
        </m:r>
        <m:r>
          <m:t>o</m:t>
        </m:r>
        <m:r>
          <m:t>n</m:t>
        </m:r>
        <m:r>
          <m:rPr>
            <m:sty m:val="p"/>
          </m:rPr>
          <m:t>*</m:t>
        </m:r>
        <m:r>
          <m:rPr>
            <m:sty m:val="p"/>
          </m:rPr>
          <m:t>*</m:t>
        </m:r>
        <m:r>
          <m:t>i</m:t>
        </m:r>
        <m:r>
          <m:t>s</m:t>
        </m:r>
        <m:r>
          <m:t>u</m:t>
        </m:r>
        <m:r>
          <m:t>p</m:t>
        </m:r>
        <m:r>
          <m:t>f</m:t>
        </m:r>
        <m:r>
          <m:t>r</m:t>
        </m:r>
        <m:r>
          <m:t>o</m:t>
        </m:r>
        <m:r>
          <m:t>m</m:t>
        </m:r>
        <m:r>
          <m:rPr>
            <m:sty m:val="p"/>
          </m:rPr>
          <m:t>*</m:t>
        </m:r>
        <m:r>
          <m:rPr>
            <m:sty m:val="p"/>
          </m:rPr>
          <m:t>*</m:t>
        </m:r>
      </m:oMath>
      <w:r>
        <w:rPr>
          <w:b/>
          <w:bCs/>
        </w:rPr>
        <w:t xml:space="preserve">1.433 trillion</w:t>
      </w:r>
      <w:r>
        <w:t xml:space="preserve"> </w:t>
      </w:r>
      <w:r>
        <w:t xml:space="preserve">at March 31, providing a favorable revenue base. (</w:t>
      </w:r>
      <w:hyperlink r:id="rId10">
        <w:r>
          <w:rPr>
            <w:rStyle w:val="Hyperlink"/>
          </w:rPr>
          <w:t xml:space="preserve">sec.gov</w:t>
        </w:r>
      </w:hyperlink>
      <w:r>
        <w:t xml:space="preserve">)</w:t>
      </w:r>
    </w:p>
    <w:p>
      <w:pPr>
        <w:pStyle w:val="BodyText"/>
      </w:pPr>
      <w:r>
        <w:t xml:space="preserve">However, investors should separate</w:t>
      </w:r>
      <w:r>
        <w:t xml:space="preserve"> </w:t>
      </w:r>
      <w:r>
        <w:rPr>
          <w:b/>
          <w:bCs/>
        </w:rPr>
        <w:t xml:space="preserve">market appreciation</w:t>
      </w:r>
      <w:r>
        <w:t xml:space="preserve"> </w:t>
      </w:r>
      <w:r>
        <w:t xml:space="preserve">from</w:t>
      </w:r>
      <w:r>
        <w:t xml:space="preserve"> </w:t>
      </w:r>
      <w:r>
        <w:rPr>
          <w:b/>
          <w:bCs/>
        </w:rPr>
        <w:t xml:space="preserve">organic growth</w:t>
      </w:r>
      <w:r>
        <w:t xml:space="preserve">. In 1Q, third-party flows were modestly positive, while active-equity outflows persisted. For 2Q, watch:</w:t>
      </w:r>
    </w:p>
    <w:p>
      <w:pPr>
        <w:pStyle w:val="Compact"/>
        <w:numPr>
          <w:ilvl w:val="0"/>
          <w:numId w:val="1004"/>
        </w:numPr>
      </w:pPr>
      <w:r>
        <w:t xml:space="preserve">Third-party institutional and retail net flows;</w:t>
      </w:r>
    </w:p>
    <w:p>
      <w:pPr>
        <w:pStyle w:val="Compact"/>
        <w:numPr>
          <w:ilvl w:val="0"/>
          <w:numId w:val="1004"/>
        </w:numPr>
      </w:pPr>
      <w:r>
        <w:t xml:space="preserve">Private-credit fundraising and deployment;</w:t>
      </w:r>
    </w:p>
    <w:p>
      <w:pPr>
        <w:pStyle w:val="Compact"/>
        <w:numPr>
          <w:ilvl w:val="0"/>
          <w:numId w:val="1004"/>
        </w:numPr>
      </w:pPr>
      <w:r>
        <w:t xml:space="preserve">Progress toward PGIM’s margin-expansion objectives;</w:t>
      </w:r>
    </w:p>
    <w:p>
      <w:pPr>
        <w:pStyle w:val="Compact"/>
        <w:numPr>
          <w:ilvl w:val="0"/>
          <w:numId w:val="1004"/>
        </w:numPr>
      </w:pPr>
      <w:r>
        <w:t xml:space="preserve">Whether the $60 million of other related revenue is repeatable or unusually transaction-driven;</w:t>
      </w:r>
    </w:p>
    <w:p>
      <w:pPr>
        <w:pStyle w:val="Compact"/>
        <w:numPr>
          <w:ilvl w:val="0"/>
          <w:numId w:val="1004"/>
        </w:numPr>
      </w:pPr>
      <w:r>
        <w:t xml:space="preserve">The degree to which lower general-account alternative income reflects isolated marks/timing or a broader private-assets issue.</w:t>
      </w:r>
    </w:p>
    <w:p>
      <w:pPr>
        <w:pStyle w:val="FirstParagraph"/>
      </w:pPr>
      <w:r>
        <w:t xml:space="preserve">A strong combination of flows and operating margin would validate the strategic pivot; AUM growth without organic flow momentum would be less compelling.</w:t>
      </w:r>
    </w:p>
    <w:bookmarkEnd w:id="15"/>
    <w:bookmarkStart w:id="16" w:name="X9baaa8111b26e54dd8897876fa76358a44227a2"/>
    <w:p>
      <w:pPr>
        <w:pStyle w:val="Heading3"/>
      </w:pPr>
      <w:r>
        <w:t xml:space="preserve">4. Retirement: sales momentum versus competitive economics</w:t>
      </w:r>
    </w:p>
    <w:p>
      <w:pPr>
        <w:pStyle w:val="FirstParagraph"/>
      </w:pPr>
      <w:r>
        <w:t xml:space="preserve">Retirement is PRU’s core domestic growth engine, supported by retail annuities, pension risk transfer (PRT), and investment-spread earnings. In 1Q, Retirement generated</w:t>
      </w:r>
      <w:r>
        <w:t xml:space="preserve"> </w:t>
      </w:r>
      <m:oMath>
        <m:r>
          <m:t>572</m:t>
        </m:r>
        <m:r>
          <m:t>m</m:t>
        </m:r>
        <m:r>
          <m:t>i</m:t>
        </m:r>
        <m:r>
          <m:t>l</m:t>
        </m:r>
        <m:r>
          <m:t>l</m:t>
        </m:r>
        <m:r>
          <m:t>i</m:t>
        </m:r>
        <m:r>
          <m:t>o</m:t>
        </m:r>
        <m:r>
          <m:t>n</m:t>
        </m:r>
        <m:r>
          <m:rPr>
            <m:sty m:val="p"/>
          </m:rPr>
          <m:t>*</m:t>
        </m:r>
        <m:r>
          <m:rPr>
            <m:sty m:val="p"/>
          </m:rPr>
          <m:t>*</m:t>
        </m:r>
        <m:r>
          <m:t>o</m:t>
        </m:r>
        <m:r>
          <m:t>f</m:t>
        </m:r>
        <m:r>
          <m:t>p</m:t>
        </m:r>
        <m:r>
          <m:t>r</m:t>
        </m:r>
        <m:r>
          <m:t>e</m:t>
        </m:r>
        <m:r>
          <m:rPr>
            <m:sty m:val="p"/>
          </m:rPr>
          <m:t>−</m:t>
        </m:r>
        <m:r>
          <m:t>t</m:t>
        </m:r>
        <m:r>
          <m:t>a</m:t>
        </m:r>
        <m:r>
          <m:t>x</m:t>
        </m:r>
        <m:r>
          <m:t>A</m:t>
        </m:r>
        <m:r>
          <m:t>O</m:t>
        </m:r>
        <m:r>
          <m:t>I</m:t>
        </m:r>
        <m:r>
          <m:rPr>
            <m:sty m:val="p"/>
          </m:rPr>
          <m:t>,</m:t>
        </m:r>
        <m:r>
          <m:t>u</m:t>
        </m:r>
        <m:r>
          <m:t>p</m:t>
        </m:r>
        <m:r>
          <m:t>9</m:t>
        </m:r>
      </m:oMath>
      <w:r>
        <w:rPr>
          <w:b/>
          <w:bCs/>
        </w:rPr>
        <w:t xml:space="preserve">3.3 billion</w:t>
      </w:r>
      <w:r>
        <w:t xml:space="preserve"> </w:t>
      </w:r>
      <w:r>
        <w:t xml:space="preserve">in retail-annuity sales and</w:t>
      </w:r>
      <w:r>
        <w:t xml:space="preserve"> </w:t>
      </w:r>
      <m:oMath>
        <m:r>
          <m:t>1.4</m:t>
        </m:r>
        <m:r>
          <m:t>b</m:t>
        </m:r>
        <m:r>
          <m:t>i</m:t>
        </m:r>
        <m:r>
          <m:t>l</m:t>
        </m:r>
        <m:r>
          <m:t>l</m:t>
        </m:r>
        <m:r>
          <m:t>i</m:t>
        </m:r>
        <m:r>
          <m:t>o</m:t>
        </m:r>
        <m:r>
          <m:t>n</m:t>
        </m:r>
        <m:r>
          <m:rPr>
            <m:sty m:val="p"/>
          </m:rPr>
          <m:t>*</m:t>
        </m:r>
        <m:r>
          <m:rPr>
            <m:sty m:val="p"/>
          </m:rPr>
          <m:t>*</m:t>
        </m:r>
        <m:r>
          <m:t>o</m:t>
        </m:r>
        <m:r>
          <m:t>f</m:t>
        </m:r>
        <m:r>
          <m:t>P</m:t>
        </m:r>
        <m:r>
          <m:t>R</m:t>
        </m:r>
        <m:r>
          <m:t>T</m:t>
        </m:r>
        <m:r>
          <m:t>t</m:t>
        </m:r>
        <m:r>
          <m:t>r</m:t>
        </m:r>
        <m:r>
          <m:t>a</m:t>
        </m:r>
        <m:r>
          <m:t>n</m:t>
        </m:r>
        <m:r>
          <m:t>s</m:t>
        </m:r>
        <m:r>
          <m:t>a</m:t>
        </m:r>
        <m:r>
          <m:t>c</m:t>
        </m:r>
        <m:r>
          <m:t>t</m:t>
        </m:r>
        <m:r>
          <m:t>i</m:t>
        </m:r>
        <m:r>
          <m:t>o</m:t>
        </m:r>
        <m:r>
          <m:t>n</m:t>
        </m:r>
        <m:r>
          <m:t>s</m:t>
        </m:r>
        <m:r>
          <m:rPr>
            <m:sty m:val="p"/>
          </m:rPr>
          <m:t>.</m:t>
        </m:r>
        <m:r>
          <m:t>T</m:t>
        </m:r>
        <m:r>
          <m:t>h</m:t>
        </m:r>
        <m:r>
          <m:t>e</m:t>
        </m:r>
        <m:r>
          <m:t>c</m:t>
        </m:r>
        <m:r>
          <m:t>a</m:t>
        </m:r>
        <m:r>
          <m:t>v</m:t>
        </m:r>
        <m:r>
          <m:t>e</m:t>
        </m:r>
        <m:r>
          <m:t>a</m:t>
        </m:r>
        <m:r>
          <m:t>t</m:t>
        </m:r>
        <m:r>
          <m:t>w</m:t>
        </m:r>
        <m:r>
          <m:t>a</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25 million</w:t>
      </w:r>
      <w:r>
        <w:t xml:space="preserve"> </w:t>
      </w:r>
      <w:r>
        <w:t xml:space="preserve">of episodic prepayment income.</w:t>
      </w:r>
    </w:p>
    <w:p>
      <w:pPr>
        <w:pStyle w:val="BodyText"/>
      </w:pPr>
      <w:r>
        <w:t xml:space="preserve">For 2Q, focus on:</w:t>
      </w:r>
    </w:p>
    <w:p>
      <w:pPr>
        <w:pStyle w:val="Compact"/>
        <w:numPr>
          <w:ilvl w:val="0"/>
          <w:numId w:val="1005"/>
        </w:numPr>
      </w:pPr>
      <w:r>
        <w:t xml:space="preserve">Retail annuity sales and the trajectory of FlexGuard 2.0;</w:t>
      </w:r>
    </w:p>
    <w:p>
      <w:pPr>
        <w:pStyle w:val="Compact"/>
        <w:numPr>
          <w:ilvl w:val="0"/>
          <w:numId w:val="1005"/>
        </w:numPr>
      </w:pPr>
      <w:r>
        <w:t xml:space="preserve">PRT volume—especially the balance between jumbo and middle-market transactions;</w:t>
      </w:r>
    </w:p>
    <w:p>
      <w:pPr>
        <w:pStyle w:val="Compact"/>
        <w:numPr>
          <w:ilvl w:val="0"/>
          <w:numId w:val="1005"/>
        </w:numPr>
      </w:pPr>
      <w:r>
        <w:t xml:space="preserve">New-business spreads and pricing discipline amid competition;</w:t>
      </w:r>
    </w:p>
    <w:p>
      <w:pPr>
        <w:pStyle w:val="Compact"/>
        <w:numPr>
          <w:ilvl w:val="0"/>
          <w:numId w:val="1005"/>
        </w:numPr>
      </w:pPr>
      <w:r>
        <w:t xml:space="preserve">Whether prepayment income repeats or reverses;</w:t>
      </w:r>
    </w:p>
    <w:p>
      <w:pPr>
        <w:pStyle w:val="Compact"/>
        <w:numPr>
          <w:ilvl w:val="0"/>
          <w:numId w:val="1005"/>
        </w:numPr>
      </w:pPr>
      <w:r>
        <w:t xml:space="preserve">The disclosed</w:t>
      </w:r>
      <w:r>
        <w:t xml:space="preserve"> </w:t>
      </w:r>
      <w:r>
        <w:rPr>
          <w:b/>
          <w:bCs/>
        </w:rPr>
        <w:t xml:space="preserve">$90 million actuarial-assumption headwind</w:t>
      </w:r>
      <w:r>
        <w:t xml:space="preserve"> </w:t>
      </w:r>
      <w:r>
        <w:t xml:space="preserve">in Retirement. (</w:t>
      </w:r>
      <w:hyperlink r:id="rId10">
        <w:r>
          <w:rPr>
            <w:rStyle w:val="Hyperlink"/>
          </w:rPr>
          <w:t xml:space="preserve">sec.gov</w:t>
        </w:r>
      </w:hyperlink>
      <w:r>
        <w:t xml:space="preserve">)</w:t>
      </w:r>
    </w:p>
    <w:p>
      <w:pPr>
        <w:pStyle w:val="FirstParagraph"/>
      </w:pPr>
      <w:r>
        <w:t xml:space="preserve">The reported segment result could look softer because of the assumption update; investors should assess underlying sales, spreads, and expense discipline rather than react solely to the headline.</w:t>
      </w:r>
    </w:p>
    <w:bookmarkEnd w:id="16"/>
    <w:bookmarkStart w:id="17" w:name="X5825f694396fffff5d630fe2ff723b25bd85642"/>
    <w:p>
      <w:pPr>
        <w:pStyle w:val="Heading3"/>
      </w:pPr>
      <w:r>
        <w:t xml:space="preserve">5. Insurance execution: Group normalization and Individual Life durability</w:t>
      </w:r>
    </w:p>
    <w:p>
      <w:pPr>
        <w:pStyle w:val="FirstParagraph"/>
      </w:pPr>
      <w:r>
        <w:t xml:space="preserve">PRU’s first-quarter results showed a mixed insurance picture:</w:t>
      </w:r>
    </w:p>
    <w:p>
      <w:pPr>
        <w:pStyle w:val="Compact"/>
        <w:numPr>
          <w:ilvl w:val="0"/>
          <w:numId w:val="1006"/>
        </w:numPr>
      </w:pPr>
      <w:r>
        <w:rPr>
          <w:b/>
          <w:bCs/>
        </w:rPr>
        <w:t xml:space="preserve">Group Insurance</w:t>
      </w:r>
      <w:r>
        <w:t xml:space="preserve"> </w:t>
      </w:r>
      <w:r>
        <w:t xml:space="preserve">was pressured by less favorable disability incidence and severity, though the benefits ratio remained within management’s target range.</w:t>
      </w:r>
    </w:p>
    <w:p>
      <w:pPr>
        <w:pStyle w:val="Compact"/>
        <w:numPr>
          <w:ilvl w:val="0"/>
          <w:numId w:val="1006"/>
        </w:numPr>
      </w:pPr>
      <w:r>
        <w:rPr>
          <w:b/>
          <w:bCs/>
        </w:rPr>
        <w:t xml:space="preserve">Individual Life</w:t>
      </w:r>
      <w:r>
        <w:t xml:space="preserve"> </w:t>
      </w:r>
      <w:r>
        <w:t xml:space="preserve">improved sharply on favorable mortality and investment spread, while management emphasized that separating legacy guaranteed-universal-life exposure should make the earnings quality of the go-forward franchise more visible.</w:t>
      </w:r>
    </w:p>
    <w:p>
      <w:pPr>
        <w:pStyle w:val="Compact"/>
        <w:numPr>
          <w:ilvl w:val="0"/>
          <w:numId w:val="1006"/>
        </w:numPr>
      </w:pPr>
      <w:r>
        <w:rPr>
          <w:b/>
          <w:bCs/>
        </w:rPr>
        <w:t xml:space="preserve">U.S. Legacy Products</w:t>
      </w:r>
      <w:r>
        <w:t xml:space="preserve"> </w:t>
      </w:r>
      <w:r>
        <w:t xml:space="preserve">continues to run off, creating a structural drag on fee income and making the distinction between core growth and legacy runoff increasingly important.</w:t>
      </w:r>
    </w:p>
    <w:p>
      <w:pPr>
        <w:pStyle w:val="FirstParagraph"/>
      </w:pPr>
      <w:r>
        <w:t xml:space="preserve">The 2Q actuarial update is favorable for Group Insurance, Individual Life, and U.S. Legacy Products by a combined</w:t>
      </w:r>
      <w:r>
        <w:t xml:space="preserve"> </w:t>
      </w:r>
      <w:r>
        <w:rPr>
          <w:b/>
          <w:bCs/>
        </w:rPr>
        <w:t xml:space="preserve">$75 million pre-tax AOI</w:t>
      </w:r>
      <w:r>
        <w:t xml:space="preserve">. Investors should not annualize those benefits; the more informative read-through will be disability claims, mortality, sales, and the pace of legacy runoff. (</w:t>
      </w:r>
      <w:hyperlink r:id="rId10">
        <w:r>
          <w:rPr>
            <w:rStyle w:val="Hyperlink"/>
          </w:rPr>
          <w:t xml:space="preserve">sec.gov</w:t>
        </w:r>
      </w:hyperlink>
      <w:r>
        <w:t xml:space="preserve">)</w:t>
      </w:r>
    </w:p>
    <w:p>
      <w:r>
        <w:pict>
          <v:rect style="width:0;height:1.5pt" o:hralign="center" o:hrstd="t" o:hr="t"/>
        </w:pict>
      </w:r>
    </w:p>
    <w:bookmarkEnd w:id="17"/>
    <w:bookmarkEnd w:id="18"/>
    <w:bookmarkStart w:id="19" w:name="earnings-context"/>
    <w:p>
      <w:pPr>
        <w:pStyle w:val="Heading2"/>
      </w:pPr>
      <w:r>
        <w:t xml:space="preserve">Earnings context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2Q25 actual</w:t>
            </w:r>
          </w:p>
        </w:tc>
        <w:tc>
          <w:tcPr/>
          <w:p>
            <w:pPr>
              <w:pStyle w:val="Compact"/>
            </w:pPr>
            <w:r>
              <w:t xml:space="preserve">2Q26 read-through</w:t>
            </w:r>
          </w:p>
        </w:tc>
      </w:tr>
      <w:tr>
        <w:tc>
          <w:tcPr/>
          <w:p>
            <w:pPr>
              <w:pStyle w:val="Compact"/>
            </w:pPr>
            <w:r>
              <w:t xml:space="preserve">After-tax adjusted operating income / share</w:t>
            </w:r>
          </w:p>
        </w:tc>
        <w:tc>
          <w:tcPr/>
          <w:p>
            <w:pPr>
              <w:pStyle w:val="Compact"/>
              <w:jc w:val="right"/>
            </w:pPr>
            <w:r>
              <w:t xml:space="preserve">$1.278B / $3.61</w:t>
            </w:r>
          </w:p>
        </w:tc>
        <w:tc>
          <w:tcPr/>
          <w:p>
            <w:pPr>
              <w:pStyle w:val="Compact"/>
              <w:jc w:val="right"/>
            </w:pPr>
            <w:r>
              <w:t xml:space="preserve">$1.284B / $3.58</w:t>
            </w:r>
          </w:p>
        </w:tc>
        <w:tc>
          <w:tcPr/>
          <w:p>
            <w:pPr>
              <w:pStyle w:val="Compact"/>
            </w:pPr>
            <w:r>
              <w:t xml:space="preserve">Expect significant disclosed items to complicate comparability</w:t>
            </w:r>
          </w:p>
        </w:tc>
      </w:tr>
      <w:tr>
        <w:tc>
          <w:tcPr/>
          <w:p>
            <w:pPr>
              <w:pStyle w:val="Compact"/>
            </w:pPr>
            <w:r>
              <w:t xml:space="preserve">PGIM pre-tax AOI</w:t>
            </w:r>
          </w:p>
        </w:tc>
        <w:tc>
          <w:tcPr/>
          <w:p>
            <w:pPr>
              <w:pStyle w:val="Compact"/>
              <w:jc w:val="right"/>
            </w:pPr>
            <w:r>
              <w:t xml:space="preserve">$190M</w:t>
            </w:r>
          </w:p>
        </w:tc>
        <w:tc>
          <w:tcPr/>
          <w:p>
            <w:pPr>
              <w:pStyle w:val="Compact"/>
              <w:jc w:val="right"/>
            </w:pPr>
            <w:r>
              <w:t xml:space="preserve">$229M</w:t>
            </w:r>
          </w:p>
        </w:tc>
        <w:tc>
          <w:tcPr/>
          <w:p>
            <w:pPr>
              <w:pStyle w:val="Compact"/>
            </w:pPr>
            <w:r>
              <w:t xml:space="preserve">AUM and flows/margins are more important than the reported AOI alone</w:t>
            </w:r>
          </w:p>
        </w:tc>
      </w:tr>
      <w:tr>
        <w:tc>
          <w:tcPr/>
          <w:p>
            <w:pPr>
              <w:pStyle w:val="Compact"/>
            </w:pPr>
            <w:r>
              <w:t xml:space="preserve">U.S. Businesses pre-tax AOI</w:t>
            </w:r>
          </w:p>
        </w:tc>
        <w:tc>
          <w:tcPr/>
          <w:p>
            <w:pPr>
              <w:pStyle w:val="Compact"/>
              <w:jc w:val="right"/>
            </w:pPr>
            <w:r>
              <w:t xml:space="preserve">$956M</w:t>
            </w:r>
          </w:p>
        </w:tc>
        <w:tc>
          <w:tcPr/>
          <w:p>
            <w:pPr>
              <w:pStyle w:val="Compact"/>
              <w:jc w:val="right"/>
            </w:pPr>
            <w:r>
              <w:t xml:space="preserve">$955M</w:t>
            </w:r>
          </w:p>
        </w:tc>
        <w:tc>
          <w:tcPr/>
          <w:p>
            <w:pPr>
              <w:pStyle w:val="Compact"/>
            </w:pPr>
            <w:r>
              <w:t xml:space="preserve">Retirement growth must offset legacy runoff and underwriting variability</w:t>
            </w:r>
          </w:p>
        </w:tc>
      </w:tr>
      <w:tr>
        <w:tc>
          <w:tcPr/>
          <w:p>
            <w:pPr>
              <w:pStyle w:val="Compact"/>
            </w:pPr>
            <w:r>
              <w:t xml:space="preserve">International pre-tax AOI</w:t>
            </w:r>
          </w:p>
        </w:tc>
        <w:tc>
          <w:tcPr/>
          <w:p>
            <w:pPr>
              <w:pStyle w:val="Compact"/>
              <w:jc w:val="right"/>
            </w:pPr>
            <w:r>
              <w:t xml:space="preserve">$810M</w:t>
            </w:r>
          </w:p>
        </w:tc>
        <w:tc>
          <w:tcPr/>
          <w:p>
            <w:pPr>
              <w:pStyle w:val="Compact"/>
              <w:jc w:val="right"/>
            </w:pPr>
            <w:r>
              <w:t xml:space="preserve">$761M</w:t>
            </w:r>
          </w:p>
        </w:tc>
        <w:tc>
          <w:tcPr/>
          <w:p>
            <w:pPr>
              <w:pStyle w:val="Compact"/>
            </w:pPr>
            <w:r>
              <w:t xml:space="preserve">POJ drag should intensify sequentially as suspension effects build</w:t>
            </w:r>
          </w:p>
        </w:tc>
      </w:tr>
      <w:tr>
        <w:tc>
          <w:tcPr/>
          <w:p>
            <w:pPr>
              <w:pStyle w:val="Compact"/>
            </w:pPr>
            <w:r>
              <w:t xml:space="preserve">Corporate &amp; Other pre-tax AOI</w:t>
            </w:r>
          </w:p>
        </w:tc>
        <w:tc>
          <w:tcPr/>
          <w:p>
            <w:pPr>
              <w:pStyle w:val="Compact"/>
              <w:jc w:val="right"/>
            </w:pPr>
            <w:r>
              <w:t xml:space="preserve">$(330)M</w:t>
            </w:r>
          </w:p>
        </w:tc>
        <w:tc>
          <w:tcPr/>
          <w:p>
            <w:pPr>
              <w:pStyle w:val="Compact"/>
              <w:jc w:val="right"/>
            </w:pPr>
            <w:r>
              <w:t xml:space="preserve">$(280)M</w:t>
            </w:r>
          </w:p>
        </w:tc>
        <w:tc>
          <w:tcPr/>
          <w:p>
            <w:pPr>
              <w:pStyle w:val="Compact"/>
            </w:pPr>
            <w:r>
              <w:t xml:space="preserve">Expense control and investment income remain swing factors</w:t>
            </w:r>
          </w:p>
        </w:tc>
      </w:tr>
    </w:tbl>
    <w:p>
      <w:pPr>
        <w:pStyle w:val="BodyText"/>
      </w:pPr>
      <w:r>
        <w:rPr>
          <w:i/>
          <w:iCs/>
        </w:rPr>
        <w:t xml:space="preserve">Source: PRU’s 1Q26 and 2Q25 earnings releases. The segment presentation has changed with the creation of U.S. Legacy Products, limiting clean year-over-year comparisons.</w:t>
      </w:r>
    </w:p>
    <w:p>
      <w:r>
        <w:pict>
          <v:rect style="width:0;height:1.5pt" o:hralign="center" o:hrstd="t" o:hr="t"/>
        </w:pict>
      </w:r>
    </w:p>
    <w:bookmarkEnd w:id="19"/>
    <w:bookmarkStart w:id="20" w:name="stock-setup-and-valuation-framing"/>
    <w:p>
      <w:pPr>
        <w:pStyle w:val="Heading2"/>
      </w:pPr>
      <w:r>
        <w:t xml:space="preserve">Stock setup and valuation framing</w:t>
      </w:r>
    </w:p>
    <w:p>
      <w:pPr>
        <w:pStyle w:val="FirstParagraph"/>
      </w:pPr>
      <w:r>
        <w:t xml:space="preserve">PRU closed at</w:t>
      </w:r>
      <w:r>
        <w:t xml:space="preserve"> </w:t>
      </w:r>
      <w:r>
        <w:rPr>
          <w:b/>
          <w:bCs/>
        </w:rPr>
        <w:t xml:space="preserve">$123.96 on July 28</w:t>
      </w:r>
      <w:r>
        <w:t xml:space="preserve">, up about</w:t>
      </w:r>
      <w:r>
        <w:t xml:space="preserve"> </w:t>
      </w:r>
      <w:r>
        <w:rPr>
          <w:b/>
          <w:bCs/>
        </w:rPr>
        <w:t xml:space="preserve">8.9% year to date</w:t>
      </w:r>
      <w:r>
        <w:t xml:space="preserve"> </w:t>
      </w:r>
      <w:r>
        <w:t xml:space="preserve">and</w:t>
      </w:r>
      <w:r>
        <w:t xml:space="preserve"> </w:t>
      </w:r>
      <w:r>
        <w:rPr>
          <w:b/>
          <w:bCs/>
        </w:rPr>
        <w:t xml:space="preserve">7.8% since July 15</w:t>
      </w:r>
      <w:r>
        <w:t xml:space="preserve">, when it filed its preliminary 2Q disclosures. That suggests the market has already absorbed—or welcomed—the disclosed AUM, actuarial, and alternative-income items, raising the importance of incremental information from strategy, Japan, and capital allocation.</w:t>
      </w:r>
    </w:p>
    <w:p>
      <w:pPr>
        <w:pStyle w:val="BodyText"/>
      </w:pPr>
      <w:r>
        <w:t xml:space="preserve">Using the March 31 adjusted book value per share of</w:t>
      </w:r>
      <w:r>
        <w:t xml:space="preserve"> </w:t>
      </w:r>
      <w:r>
        <w:rPr>
          <w:b/>
          <w:bCs/>
        </w:rPr>
        <w:t xml:space="preserve">$99.79</w:t>
      </w:r>
      <w:r>
        <w:t xml:space="preserve">, the July 28 share price equates to roughly</w:t>
      </w:r>
      <w:r>
        <w:t xml:space="preserve"> </w:t>
      </w:r>
      <w:r>
        <w:rPr>
          <w:b/>
          <w:bCs/>
        </w:rPr>
        <w:t xml:space="preserve">1.24x adjusted book value</w:t>
      </w:r>
      <w:r>
        <w:t xml:space="preserve">. That is not a complete valuation framework for an insurer, but it underscores that a sustained re-rating likely requires confidence in the durability of earnings, capital return, and the strategic reshaping—not simply a one-quarter beat.</w:t>
      </w:r>
    </w:p>
    <w:p>
      <w:r>
        <w:pict>
          <v:rect style="width:0;height:1.5pt" o:hralign="center" o:hrstd="t" o:hr="t"/>
        </w:pict>
      </w:r>
    </w:p>
    <w:bookmarkEnd w:id="20"/>
    <w:bookmarkStart w:id="23" w:name="bull-bear-and-key-swing-factors"/>
    <w:p>
      <w:pPr>
        <w:pStyle w:val="Heading2"/>
      </w:pPr>
      <w:r>
        <w:t xml:space="preserve">Bull, bear, and key swing factors</w:t>
      </w:r>
    </w:p>
    <w:bookmarkStart w:id="21" w:name="bull-case"/>
    <w:p>
      <w:pPr>
        <w:pStyle w:val="Heading3"/>
      </w:pPr>
      <w:r>
        <w:t xml:space="preserve">Bull case</w:t>
      </w:r>
    </w:p>
    <w:p>
      <w:pPr>
        <w:pStyle w:val="Compact"/>
        <w:numPr>
          <w:ilvl w:val="0"/>
          <w:numId w:val="1007"/>
        </w:numPr>
      </w:pPr>
      <w:r>
        <w:t xml:space="preserve">PGIM demonstrates organic flow improvement, margin progress, and durable private-assets momentum.</w:t>
      </w:r>
    </w:p>
    <w:p>
      <w:pPr>
        <w:pStyle w:val="Compact"/>
        <w:numPr>
          <w:ilvl w:val="0"/>
          <w:numId w:val="1007"/>
        </w:numPr>
      </w:pPr>
      <w:r>
        <w:t xml:space="preserve">Retirement continues to grow through disciplined annuity and PRT production.</w:t>
      </w:r>
    </w:p>
    <w:p>
      <w:pPr>
        <w:pStyle w:val="Compact"/>
        <w:numPr>
          <w:ilvl w:val="0"/>
          <w:numId w:val="1007"/>
        </w:numPr>
      </w:pPr>
      <w:r>
        <w:t xml:space="preserve">The actuarial update confirms reserve/assumption strength without creating a recurring earnings burden.</w:t>
      </w:r>
    </w:p>
    <w:p>
      <w:pPr>
        <w:pStyle w:val="Compact"/>
        <w:numPr>
          <w:ilvl w:val="0"/>
          <w:numId w:val="1007"/>
        </w:numPr>
      </w:pPr>
      <w:r>
        <w:t xml:space="preserve">POJ costs and surrenders remain within prior guidance, with tangible progress toward resuming sales.</w:t>
      </w:r>
    </w:p>
    <w:p>
      <w:pPr>
        <w:pStyle w:val="Compact"/>
        <w:numPr>
          <w:ilvl w:val="0"/>
          <w:numId w:val="1007"/>
        </w:numPr>
      </w:pPr>
      <w:r>
        <w:t xml:space="preserve">Management provides a concrete strategy with portfolio actions, capital priorities, and measurable operating targets.</w:t>
      </w:r>
    </w:p>
    <w:bookmarkEnd w:id="21"/>
    <w:bookmarkStart w:id="22" w:name="bear-case"/>
    <w:p>
      <w:pPr>
        <w:pStyle w:val="Heading3"/>
      </w:pPr>
      <w:r>
        <w:t xml:space="preserve">Bear case</w:t>
      </w:r>
    </w:p>
    <w:p>
      <w:pPr>
        <w:pStyle w:val="Compact"/>
        <w:numPr>
          <w:ilvl w:val="0"/>
          <w:numId w:val="1008"/>
        </w:numPr>
      </w:pPr>
      <w:r>
        <w:t xml:space="preserve">The POJ impact increases beyond guidance, remediation takes longer, or sales recovery assumptions prove optimistic.</w:t>
      </w:r>
    </w:p>
    <w:p>
      <w:pPr>
        <w:pStyle w:val="Compact"/>
        <w:numPr>
          <w:ilvl w:val="0"/>
          <w:numId w:val="1008"/>
        </w:numPr>
      </w:pPr>
      <w:r>
        <w:t xml:space="preserve">Lower alternative income is not merely episodic and instead signals broader pressure in private equity, real estate, or hedge-fund exposures.</w:t>
      </w:r>
    </w:p>
    <w:p>
      <w:pPr>
        <w:pStyle w:val="Compact"/>
        <w:numPr>
          <w:ilvl w:val="0"/>
          <w:numId w:val="1008"/>
        </w:numPr>
      </w:pPr>
      <w:r>
        <w:t xml:space="preserve">PGIM AUM growth is principally market-driven while flows remain weak.</w:t>
      </w:r>
    </w:p>
    <w:p>
      <w:pPr>
        <w:pStyle w:val="Compact"/>
        <w:numPr>
          <w:ilvl w:val="0"/>
          <w:numId w:val="1008"/>
        </w:numPr>
      </w:pPr>
      <w:r>
        <w:t xml:space="preserve">Retirement sales require margin concessions, or Group disability experience worsens.</w:t>
      </w:r>
    </w:p>
    <w:p>
      <w:pPr>
        <w:pStyle w:val="Compact"/>
        <w:numPr>
          <w:ilvl w:val="0"/>
          <w:numId w:val="1008"/>
        </w:numPr>
      </w:pPr>
      <w:r>
        <w:t xml:space="preserve">The strategy update lacks quantification, leaving investors with an appealing narrative but no basis for earnings or valuation confidence.</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rPr>
          <w:b/>
          <w:bCs/>
        </w:rPr>
        <w:t xml:space="preserve">PRU’s 2Q26 headline numbers will be unusually difficult to interpret because management has already disclosed meaningful one-time actuarial impacts and below-plan alternative-investment income.</w:t>
      </w:r>
      <w:r>
        <w:t xml:space="preserve"> </w:t>
      </w:r>
      <w:r>
        <w:t xml:space="preserve">The investable debate is whether the August 5 strategy presentation can establish a credible path from a diversified, complex insurer to a more focused company built around Retirement, PGIM, and durable protection franchises.</w:t>
      </w:r>
    </w:p>
    <w:p>
      <w:pPr>
        <w:pStyle w:val="BodyText"/>
      </w:pPr>
      <w:r>
        <w:t xml:space="preserve">The highest-value signals will be:</w:t>
      </w:r>
      <w:r>
        <w:t xml:space="preserve"> </w:t>
      </w:r>
      <w:r>
        <w:rPr>
          <w:b/>
          <w:bCs/>
        </w:rPr>
        <w:t xml:space="preserve">(1) confirmation that Japan remains contained, (2) PGIM organic-growth and margin evidence, (3) retirement sales profitability, and (4) hard strategic and capital-allocation targets.</w:t>
      </w:r>
      <w:r>
        <w:t xml:space="preserve"> </w:t>
      </w:r>
      <w:r>
        <w:t xml:space="preserve">A clean beat without progress on those issues is less likely to change the longer-term thesis.</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www.investor.prudential.com/news/news-details/2026/Prudential-Financial-Inc--to-Announce-Second-Quarter-2026-Earnings-Schedules-Earnings-and-Strategy-Call/default.aspx?utm_source=openai" TargetMode="External" /><Relationship Type="http://schemas.openxmlformats.org/officeDocument/2006/relationships/hyperlink" Id="rId10" Target="https://www.sec.gov/Archives/edgar/data/1137774/000113777426000157/pru-20260715.htm" TargetMode="External" /><Relationship Type="http://schemas.openxmlformats.org/officeDocument/2006/relationships/hyperlink" Id="rId13" Target="https://www.sec.gov/Archives/edgar/data/1137774/000119312526166839/d143575dex991.htm" TargetMode="External" /></Relationships>
</file>

<file path=word/_rels/footnotes.xml.rels><?xml version="1.0" encoding="UTF-8"?><Relationships xmlns="http://schemas.openxmlformats.org/package/2006/relationships"><Relationship Type="http://schemas.openxmlformats.org/officeDocument/2006/relationships/hyperlink" Id="rId9" Target="https://www.investor.prudential.com/news/news-details/2026/Prudential-Financial-Inc--to-Announce-Second-Quarter-2026-Earnings-Schedules-Earnings-and-Strategy-Call/default.aspx?utm_source=openai" TargetMode="External" /><Relationship Type="http://schemas.openxmlformats.org/officeDocument/2006/relationships/hyperlink" Id="rId10" Target="https://www.sec.gov/Archives/edgar/data/1137774/000113777426000157/pru-20260715.htm" TargetMode="External" /><Relationship Type="http://schemas.openxmlformats.org/officeDocument/2006/relationships/hyperlink" Id="rId13" Target="https://www.sec.gov/Archives/edgar/data/1137774/000119312526166839/d143575dex99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2026-07-29T02:19:01Z</dcterms:created>
  <dcterms:modified xsi:type="dcterms:W3CDTF">2026-07-29T02:19:01Z</dcterms:modified>
</cp:coreProperties>
</file>

<file path=docProps/custom.xml><?xml version="1.0" encoding="utf-8"?>
<Properties xmlns="http://schemas.openxmlformats.org/officeDocument/2006/custom-properties" xmlns:vt="http://schemas.openxmlformats.org/officeDocument/2006/docPropsVTypes"/>
</file>