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Let me read the most recent earnings materials.Let me check recent news on PSA and the NSA merger status.Several major developments. Let me read the key filings: the NSA merger completion, the PS Canada acquisition, and the COO departure.I have what I need. Let me quickly compute a few price/performance stats to anchor the preview.Here is the earnings preview.</w:t>
      </w:r>
    </w:p>
    <w:p>
      <w:r>
        <w:pict>
          <v:rect style="width:0;height:1.5pt" o:hralign="center" o:hrstd="t" o:hr="t"/>
        </w:pict>
      </w:r>
    </w:p>
    <w:bookmarkStart w:id="16" w:name="X162a7a2d9d481ca6f4461f48d5bbbb360fcde2b"/>
    <w:p>
      <w:pPr>
        <w:pStyle w:val="Heading1"/>
      </w:pPr>
      <w:r>
        <w:t xml:space="preserve">Public Storage (NYSE: PSA) — Q2 2026 Earnings Preview</w:t>
      </w:r>
    </w:p>
    <w:bookmarkStart w:id="9" w:name="X1e9d79e8c3ee866132b4bbb5dbe2268901017c1"/>
    <w:p>
      <w:pPr>
        <w:pStyle w:val="Heading3"/>
      </w:pPr>
      <w:r>
        <w:t xml:space="preserve">Reports after market close, July 29, 2026 (2026Q2 Earnings Call)</w: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This is not a "normal" quarter print. Since the Q1 call, PSA has closed the largest deal in its history (NSA), announced a second cross-border acquisition (PS Canada), rebuilt its financing stack, and lost its COO. The operating results matter, but</w:t>
      </w:r>
      <w:r>
        <w:t xml:space="preserve"> </w:t>
      </w:r>
      <w:r>
        <w:rPr>
          <w:b/>
          <w:bCs/>
        </w:rPr>
        <w:t xml:space="preserve">the guidance reset — where management folds NSA and Canada into the numbers — is the main event.</w:t>
      </w:r>
      <w:r>
        <w:t xml:space="preserve"> </w:t>
      </w:r>
      <w:r>
        <w:t xml:space="preserve">Management explicitly told investors in April it would "revert back in 2Q with hopefully a positive update," so expectations for a raise are baked in.</w:t>
      </w:r>
    </w:p>
    <w:p>
      <w:r>
        <w:pict>
          <v:rect style="width:0;height:1.5pt" o:hralign="center" o:hrstd="t" o:hr="t"/>
        </w:pict>
      </w:r>
    </w:p>
    <w:bookmarkEnd w:id="10"/>
    <w:bookmarkStart w:id="11" w:name="X9c7921f8d32daf5ec3d532f633bcc6c00ac58f0"/>
    <w:p>
      <w:pPr>
        <w:pStyle w:val="Heading2"/>
      </w:pPr>
      <w:r>
        <w:t xml:space="preserve">1. The Corporate Story Has Changed — 4 Things That Happened Since Q1</w:t>
      </w:r>
    </w:p>
    <w:p>
      <w:pPr>
        <w:pStyle w:val="FirstParagraph"/>
      </w:pPr>
      <w:r>
        <w:rPr>
          <w:b/>
          <w:bCs/>
        </w:rPr>
        <w:t xml:space="preserve">a) The NSA acquisition CLOSED (July 22) — earlier than the "Q3" guide.</w:t>
      </w:r>
    </w:p>
    <w:p>
      <w:pPr>
        <w:pStyle w:val="Compact"/>
        <w:numPr>
          <w:ilvl w:val="0"/>
          <w:numId w:val="1001"/>
        </w:numPr>
      </w:pPr>
      <w:r>
        <w:t xml:space="preserve">All-stock deal,</w:t>
      </w:r>
      <w:r>
        <w:t xml:space="preserve"> </w:t>
      </w:r>
      <w:r>
        <w:rPr>
          <w:b/>
          <w:bCs/>
        </w:rPr>
        <w:t xml:space="preserve">0.14 PSA shares per NSA share</w:t>
      </w:r>
      <w:r>
        <w:t xml:space="preserve">; ~$10.5B enterprise value. Adds</w:t>
      </w:r>
      <w:r>
        <w:t xml:space="preserve"> </w:t>
      </w:r>
      <w:r>
        <w:rPr>
          <w:b/>
          <w:bCs/>
        </w:rPr>
        <w:t xml:space="preserve">1,000+ properties and 550,000+ units</w:t>
      </w:r>
      <w:r>
        <w:t xml:space="preserve">, pushing the combined platform to **~4,500 properties / 327M sq ft** in the U.S.</w:t>
      </w:r>
    </w:p>
    <w:p>
      <w:pPr>
        <w:pStyle w:val="Compact"/>
        <w:numPr>
          <w:ilvl w:val="0"/>
          <w:numId w:val="1001"/>
        </w:numPr>
      </w:pPr>
      <w:r>
        <w:t xml:space="preserve">Structured with a</w:t>
      </w:r>
      <w:r>
        <w:t xml:space="preserve"> </w:t>
      </w:r>
      <w:r>
        <w:rPr>
          <w:b/>
          <w:bCs/>
        </w:rPr>
        <w:t xml:space="preserve">joint venture of 313 legacy NSA properties</w:t>
      </w:r>
      <w:r>
        <w:t xml:space="preserve"> </w:t>
      </w:r>
      <w:r>
        <w:t xml:space="preserve">(legacy LPs own ~80%, PSA the rest); PSA exclusively manages it and collects property management, asset management, and tenant reinsurance fees. The JV took **~</w:t>
      </w:r>
      <m:oMath>
        <m:r>
          <m:t>2</m:t>
        </m:r>
        <m:r>
          <m:t>B</m:t>
        </m:r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e</m:t>
        </m:r>
        <m:r>
          <m:t>d</m:t>
        </m:r>
        <m:r>
          <m:t>m</m:t>
        </m:r>
        <m:r>
          <m:t>o</m:t>
        </m:r>
        <m:r>
          <m:t>r</m:t>
        </m:r>
        <m:r>
          <m:t>t</m:t>
        </m:r>
        <m:r>
          <m:t>g</m:t>
        </m:r>
        <m:r>
          <m:t>a</m:t>
        </m:r>
        <m:r>
          <m:t>g</m:t>
        </m:r>
        <m:r>
          <m:t>e</m:t>
        </m:r>
        <m:r>
          <m:t>f</m:t>
        </m:r>
        <m:r>
          <m:t>i</m:t>
        </m:r>
        <m:r>
          <m:t>n</m:t>
        </m:r>
        <m:r>
          <m:t>a</m:t>
        </m:r>
        <m:r>
          <m:t>n</m:t>
        </m:r>
        <m:r>
          <m:t>c</m:t>
        </m:r>
        <m:r>
          <m:t>i</m:t>
        </m:r>
        <m:r>
          <m:t>n</m:t>
        </m:r>
        <m:r>
          <m:t>g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p</m:t>
        </m:r>
        <m:r>
          <m:t>l</m:t>
        </m:r>
        <m:r>
          <m:t>u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237M mezzanine from PSA**.</w:t>
      </w:r>
    </w:p>
    <w:p>
      <w:pPr>
        <w:pStyle w:val="Compact"/>
        <w:numPr>
          <w:ilvl w:val="0"/>
          <w:numId w:val="1001"/>
        </w:numPr>
      </w:pPr>
      <w:r>
        <w:t xml:space="preserve">Economics reiterated at close:</w:t>
      </w:r>
      <w:r>
        <w:t xml:space="preserve"> </w:t>
      </w:r>
      <w:r>
        <w:rPr>
          <w:b/>
          <w:bCs/>
        </w:rPr>
        <w:t xml:space="preserve">accretive to FFO/share within the first year</w:t>
      </w:r>
      <w:r>
        <w:t xml:space="preserve">, building to</w:t>
      </w:r>
      <w:r>
        <w:t xml:space="preserve"> </w:t>
      </w:r>
      <m:oMath>
        <m:r>
          <m:t>0.35</m:t>
        </m:r>
        <m:r>
          <m:rPr>
            <m:sty m:val="p"/>
          </m:rPr>
          <m:t>–</m:t>
        </m:r>
      </m:oMath>
      <w:r>
        <w:rPr>
          <w:b/>
          <w:bCs/>
        </w:rPr>
        <w:t xml:space="preserve">0.50 of accretion at stabilization</w:t>
      </w:r>
      <w:r>
        <w:t xml:space="preserve"> </w:t>
      </w:r>
      <w:r>
        <w:t xml:space="preserve">on</w:t>
      </w:r>
      <w:r>
        <w:t xml:space="preserve"> </w:t>
      </w:r>
      <w:r>
        <w:rPr>
          <w:b/>
          <w:bCs/>
        </w:rPr>
        <w:t xml:space="preserve">$110–130M of run-rate synergies over 3–4 years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Watch:</w:t>
      </w:r>
      <w:r>
        <w:t xml:space="preserve"> </w:t>
      </w:r>
      <w:r>
        <w:t xml:space="preserve">first read on integration pace (rebranding, onboarding onto PS Next), and how the share-count dilution from the 0.14 exchange ratio flows through to per-share guidance.</w:t>
      </w:r>
    </w:p>
    <w:p>
      <w:pPr>
        <w:pStyle w:val="FirstParagraph"/>
      </w:pPr>
      <w:r>
        <w:rPr>
          <w:b/>
          <w:bCs/>
        </w:rPr>
        <w:t xml:space="preserve">b) A surprise second deal — PS Canada ($1.2B), announced June 22.</w:t>
      </w:r>
    </w:p>
    <w:p>
      <w:pPr>
        <w:pStyle w:val="Compact"/>
        <w:numPr>
          <w:ilvl w:val="0"/>
          <w:numId w:val="1002"/>
        </w:numPr>
      </w:pPr>
      <w:r>
        <w:t xml:space="preserve">Buys the</w:t>
      </w:r>
      <w:r>
        <w:t xml:space="preserve"> </w:t>
      </w:r>
      <w:r>
        <w:rPr>
          <w:b/>
          <w:bCs/>
        </w:rPr>
        <w:t xml:space="preserve">#3 Canadian self-storage platform</w:t>
      </w:r>
      <w:r>
        <w:t xml:space="preserve"> </w:t>
      </w:r>
      <w:r>
        <w:t xml:space="preserve">(68 properties, 5.3M sq ft in Toronto, Vancouver, Montreal, Calgary, Ottawa) from the</w:t>
      </w:r>
      <w:r>
        <w:t xml:space="preserve"> </w:t>
      </w:r>
      <w:r>
        <w:rPr>
          <w:b/>
          <w:bCs/>
        </w:rPr>
        <w:t xml:space="preserve">Hughes family</w:t>
      </w:r>
      <w:r>
        <w:t xml:space="preserve"> </w:t>
      </w:r>
      <w:r>
        <w:t xml:space="preserve">(founder Wayne Hughes' platform; Tamara Hughes Gustavson is PSA's largest shareholder) via PSA's existing ROFO/ROFR.</w:t>
      </w:r>
    </w:p>
    <w:p>
      <w:pPr>
        <w:pStyle w:val="Compact"/>
        <w:numPr>
          <w:ilvl w:val="0"/>
          <w:numId w:val="1002"/>
        </w:numPr>
      </w:pPr>
      <w:r>
        <w:t xml:space="preserve">Funded mostly with</w:t>
      </w:r>
      <w:r>
        <w:t xml:space="preserve"> </w:t>
      </w:r>
      <w:r>
        <w:rPr>
          <w:b/>
          <w:bCs/>
        </w:rPr>
        <w:t xml:space="preserve">OP units</w:t>
      </w:r>
      <w:r>
        <w:t xml:space="preserve"> </w:t>
      </w:r>
      <w:r>
        <w:t xml:space="preserve">(2.76M OPUs at</w:t>
      </w:r>
      <w:r>
        <w:t xml:space="preserve"> </w:t>
      </w:r>
      <m:oMath>
        <m:r>
          <m:t>321.98</m:t>
        </m:r>
        <m:r>
          <m:rPr>
            <m:sty m:val="p"/>
          </m:rPr>
          <m:t>+</m:t>
        </m:r>
        <m:r>
          <m:t> </m:t>
        </m:r>
      </m:oMath>
      <w:r>
        <w:t xml:space="preserve">310M cash), plus an earn-out of up to $288M in units priced at $375.</w:t>
      </w:r>
      <w:r>
        <w:t xml:space="preserve"> </w:t>
      </w:r>
      <w:r>
        <w:rPr>
          <w:b/>
          <w:bCs/>
        </w:rPr>
        <w:t xml:space="preserve">Leverage-neutral.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High-5% going-in NOI yield</w:t>
      </w:r>
      <w:r>
        <w:t xml:space="preserve"> </w:t>
      </w:r>
      <w:r>
        <w:t xml:space="preserve">on an</w:t>
      </w:r>
      <w:r>
        <w:t xml:space="preserve"> </w:t>
      </w:r>
      <w:r>
        <w:rPr>
          <w:b/>
          <w:bCs/>
        </w:rPr>
        <w:t xml:space="preserve">83%-occupied</w:t>
      </w:r>
      <w:r>
        <w:t xml:space="preserve"> </w:t>
      </w:r>
      <w:r>
        <w:t xml:space="preserve">portfolio — i.e., meaningful lease-up/operational upside. Expected to close 2H 2026.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Watch:</w:t>
      </w:r>
      <w:r>
        <w:t xml:space="preserve"> </w:t>
      </w:r>
      <w:r>
        <w:t xml:space="preserve">timing of close, CAD-financing plans, and whether management quantifies the accretion.</w:t>
      </w:r>
    </w:p>
    <w:p>
      <w:pPr>
        <w:pStyle w:val="FirstParagraph"/>
      </w:pPr>
      <w:r>
        <w:rPr>
          <w:b/>
          <w:bCs/>
        </w:rPr>
        <w:t xml:space="preserve">c) Balance sheet was pre-loaded for the deals.</w:t>
      </w:r>
    </w:p>
    <w:p>
      <w:pPr>
        <w:pStyle w:val="Compact"/>
        <w:numPr>
          <w:ilvl w:val="0"/>
          <w:numId w:val="1003"/>
        </w:numPr>
      </w:pPr>
      <w:r>
        <w:t xml:space="preserve">New</w:t>
      </w:r>
      <w:r>
        <w:t xml:space="preserve"> </w:t>
      </w:r>
      <w:r>
        <w:rPr>
          <w:b/>
          <w:bCs/>
        </w:rPr>
        <w:t xml:space="preserve">$3.5B credit facility +</w:t>
      </w:r>
      <w:r>
        <w:rPr>
          <w:b/>
          <w:bCs/>
        </w:rPr>
        <w:t xml:space="preserve"> </w:t>
      </w:r>
      <m:oMath>
        <m:r>
          <m:t>1</m:t>
        </m:r>
        <m:r>
          <m:t>B</m:t>
        </m:r>
        <m:r>
          <m:t>c</m:t>
        </m:r>
        <m:r>
          <m:t>o</m:t>
        </m:r>
        <m:r>
          <m:t>m</m:t>
        </m:r>
        <m:r>
          <m:t>m</m:t>
        </m:r>
        <m:r>
          <m:t>e</m:t>
        </m:r>
        <m:r>
          <m:t>r</m:t>
        </m:r>
        <m:r>
          <m:t>c</m:t>
        </m:r>
        <m:r>
          <m:t>i</m:t>
        </m:r>
        <m:r>
          <m:t>a</m:t>
        </m:r>
        <m:r>
          <m:t>l</m:t>
        </m:r>
        <m:r>
          <m:t>p</m:t>
        </m:r>
        <m:r>
          <m:t>a</m:t>
        </m:r>
        <m:r>
          <m:t>p</m:t>
        </m:r>
        <m:r>
          <m:t>e</m:t>
        </m:r>
        <m:r>
          <m:t>r</m:t>
        </m:r>
        <m:r>
          <m:t>p</m:t>
        </m:r>
        <m:r>
          <m:t>r</m:t>
        </m:r>
        <m:r>
          <m:t>o</m:t>
        </m:r>
        <m:r>
          <m:t>g</m:t>
        </m:r>
        <m:r>
          <m:t>r</m:t>
        </m:r>
        <m:r>
          <m:t>a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J</m:t>
        </m:r>
        <m:r>
          <m:t>u</m:t>
        </m:r>
        <m:r>
          <m:t>n</m:t>
        </m:r>
        <m:r>
          <m:t>e</m:t>
        </m:r>
        <m:r>
          <m:t>25</m:t>
        </m:r>
        <m:r>
          <m:rPr>
            <m:sty m:val="p"/>
          </m:rPr>
          <m:t>)</m:t>
        </m:r>
        <m:r>
          <m:rPr>
            <m:sty m:val="p"/>
          </m:rPr>
          <m:t>;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900M of debt</w:t>
      </w:r>
      <w:r>
        <w:t xml:space="preserve"> </w:t>
      </w:r>
      <w:r>
        <w:t xml:space="preserve">raised July 20 tied to NSA; and a</w:t>
      </w:r>
      <w:r>
        <w:t xml:space="preserve"> </w:t>
      </w:r>
      <w:r>
        <w:rPr>
          <w:b/>
          <w:bCs/>
        </w:rPr>
        <w:t xml:space="preserve">$500M 10-yr note at 5.0%</w:t>
      </w:r>
      <w:r>
        <w:t xml:space="preserve"> </w:t>
      </w:r>
      <w:r>
        <w:t xml:space="preserve">issued shortly after Q1. Entering these deals, PSA carried a fortress sheet:</w:t>
      </w:r>
      <w:r>
        <w:t xml:space="preserve"> </w:t>
      </w:r>
      <w:r>
        <w:rPr>
          <w:b/>
          <w:bCs/>
        </w:rPr>
        <w:t xml:space="preserve">Debt/EBITDA ~2.9x</w:t>
      </w:r>
      <w:r>
        <w:t xml:space="preserve">, A2/A ratings. The question is where leverage sits post-NSA.</w:t>
      </w:r>
    </w:p>
    <w:p>
      <w:pPr>
        <w:pStyle w:val="FirstParagraph"/>
      </w:pPr>
      <w:r>
        <w:rPr>
          <w:b/>
          <w:bCs/>
        </w:rPr>
        <w:t xml:space="preserve">d) Management churn at the top.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COO Chris Sambar resigned effective end of July</w:t>
      </w:r>
      <w:r>
        <w:t xml:space="preserve"> </w:t>
      </w:r>
      <w:r>
        <w:t xml:space="preserve">to join T-Mobile; the ops team now reports directly to CEO. This lands on top of an already fresh C-suite:</w:t>
      </w:r>
      <w:r>
        <w:t xml:space="preserve"> </w:t>
      </w:r>
      <w:r>
        <w:rPr>
          <w:b/>
          <w:bCs/>
        </w:rPr>
        <w:t xml:space="preserve">Tom Boyle became CEO April 1</w:t>
      </w:r>
      <w:r>
        <w:t xml:space="preserve">,</w:t>
      </w:r>
      <w:r>
        <w:t xml:space="preserve"> </w:t>
      </w:r>
      <w:r>
        <w:rPr>
          <w:b/>
          <w:bCs/>
        </w:rPr>
        <w:t xml:space="preserve">Shank Mitra is Chairman</w:t>
      </w:r>
      <w:r>
        <w:t xml:space="preserve">, and there's a new Chief Revenue/Marketing Officer. A lot of new hands steering a much bigger, more complex company mid-integration — worth probing for stability/succession.</w:t>
      </w:r>
    </w:p>
    <w:p>
      <w:r>
        <w:pict>
          <v:rect style="width:0;height:1.5pt" o:hralign="center" o:hrstd="t" o:hr="t"/>
        </w:pict>
      </w:r>
    </w:p>
    <w:bookmarkEnd w:id="11"/>
    <w:bookmarkStart w:id="12" w:name="X72942c03a54aec5bf9a9a475ce666bd55f6284d"/>
    <w:p>
      <w:pPr>
        <w:pStyle w:val="Heading2"/>
      </w:pPr>
      <w:r>
        <w:t xml:space="preserve">2. Operating Backdrop — What Q1 Told Us About the Trajectory</w:t>
      </w:r>
    </w:p>
    <w:p>
      <w:pPr>
        <w:pStyle w:val="FirstParagraph"/>
      </w:pPr>
      <w:r>
        <w:t xml:space="preserve">Q1 was a</w:t>
      </w:r>
      <w:r>
        <w:t xml:space="preserve"> </w:t>
      </w:r>
      <w:r>
        <w:rPr>
          <w:b/>
          <w:bCs/>
        </w:rPr>
        <w:t xml:space="preserve">modest beat that management chose not to extrapolate</w:t>
      </w:r>
      <w:r>
        <w:t xml:space="preserve">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Core FFO $4.22 (+2.4% y/y)</w:t>
      </w:r>
      <w:r>
        <w:t xml:space="preserve">; Net income $2.71/sh.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Same-store: revenue flat, NOI +0.4%, occupancy +91.5% (+40bps y/y)</w:t>
      </w:r>
      <w:r>
        <w:t xml:space="preserve">, margin 77.1%.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Move-in rates -2.4%</w:t>
      </w:r>
      <w:r>
        <w:t xml:space="preserve"> </w:t>
      </w:r>
      <w:r>
        <w:t xml:space="preserve">— negative, but better than the down-mid-single-digit full-year assumption.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Expenses -1.1%</w:t>
      </w:r>
      <w:r>
        <w:t xml:space="preserve"> </w:t>
      </w:r>
      <w:r>
        <w:t xml:space="preserve">(aided by ~$3M of pulled-forward property-tax appeal wins); PS Next drove cuts to payroll, R&amp;M, utilities, marketing.</w:t>
      </w:r>
    </w:p>
    <w:p>
      <w:pPr>
        <w:pStyle w:val="Compact"/>
        <w:numPr>
          <w:ilvl w:val="0"/>
          <w:numId w:val="1005"/>
        </w:numPr>
      </w:pPr>
      <w:r>
        <w:t xml:space="preserve">The real standout:</w:t>
      </w:r>
      <w:r>
        <w:t xml:space="preserve"> </w:t>
      </w:r>
      <w:r>
        <w:rPr>
          <w:b/>
          <w:bCs/>
        </w:rPr>
        <w:t xml:space="preserve">churn/move-outs fell materially</w:t>
      </w:r>
      <w:r>
        <w:t xml:space="preserve">, boosting occupancy and pricing power.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Non-same-store NOI +27%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ancillary +12%</w:t>
      </w:r>
      <w:r>
        <w:t xml:space="preserve"> </w:t>
      </w:r>
      <w:r>
        <w:t xml:space="preserve">— the external-growth "value creation engine" is carrying results.</w:t>
      </w:r>
    </w:p>
    <w:p>
      <w:pPr>
        <w:pStyle w:val="FirstParagraph"/>
      </w:pPr>
      <w:r>
        <w:rPr>
          <w:b/>
          <w:bCs/>
        </w:rPr>
        <w:t xml:space="preserve">The key nuance for Q2:</w:t>
      </w:r>
      <w:r>
        <w:t xml:space="preserve"> </w:t>
      </w:r>
      <w:r>
        <w:t xml:space="preserve">management repeatedly warned that</w:t>
      </w:r>
      <w:r>
        <w:t xml:space="preserve"> </w:t>
      </w:r>
      <w:r>
        <w:rPr>
          <w:b/>
          <w:bCs/>
        </w:rPr>
        <w:t xml:space="preserve">year-over-year same-store revenue is a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lagging</w:t>
      </w:r>
      <w:r>
        <w:rPr>
          <w:b/>
          <w:bCs/>
        </w:rPr>
        <w:t xml:space="preserve"> </w:t>
      </w:r>
      <w:r>
        <w:rPr>
          <w:b/>
          <w:bCs/>
        </w:rPr>
        <w:t xml:space="preserve">indicator that gets worse before it gets better in 2Q/3Q</w:t>
      </w:r>
      <w:r>
        <w:t xml:space="preserve">, even as leading indicators (rates, occupancy, churn) improve sequentially. In April, they noted move-in rates were</w:t>
      </w:r>
      <w:r>
        <w:t xml:space="preserve"> </w:t>
      </w:r>
      <w:r>
        <w:rPr>
          <w:b/>
          <w:bCs/>
        </w:rPr>
        <w:t xml:space="preserve">flat to slightly positive</w:t>
      </w:r>
      <w:r>
        <w:t xml:space="preserve"> </w:t>
      </w:r>
      <w:r>
        <w:t xml:space="preserve">and trends held. So don't be alarmed by a soft y/y same-store revenue number if the sequential/leading story stays constructive — that's the tell for the 2027 recovery thesis.</w:t>
      </w:r>
    </w:p>
    <w:p>
      <w:pPr>
        <w:pStyle w:val="BodyText"/>
      </w:pPr>
      <w:r>
        <w:rPr>
          <w:b/>
          <w:bCs/>
        </w:rPr>
        <w:t xml:space="preserve">Market dispersion to track:</w:t>
      </w:r>
      <w:r>
        <w:t xml:space="preserve"> </w:t>
      </w:r>
      <w:r>
        <w:t xml:space="preserve">strength in coastal/Midwest (SF, NY, Boston, Minneapolis) vs. Sunbelt supply pressure (Tampa, Atlanta, Phoenix, Dallas — improving sequentially). And</w:t>
      </w:r>
      <w:r>
        <w:t xml:space="preserve"> </w:t>
      </w:r>
      <w:r>
        <w:rPr>
          <w:b/>
          <w:bCs/>
        </w:rPr>
        <w:t xml:space="preserve">Los Angeles</w:t>
      </w:r>
      <w:r>
        <w:t xml:space="preserve">: the wildfire state-of-emergency rent-cap is modeled as an</w:t>
      </w:r>
      <w:r>
        <w:t xml:space="preserve"> </w:t>
      </w:r>
      <w:r>
        <w:rPr>
          <w:b/>
          <w:bCs/>
        </w:rPr>
        <w:t xml:space="preserve">~80bp full-year drag</w:t>
      </w:r>
      <w:r>
        <w:t xml:space="preserve"> </w:t>
      </w:r>
      <w:r>
        <w:t xml:space="preserve">and gets worse through the year on comps, but sets up as a future tailwind when caps lift (historically an 18–24 month catch-up to market rents).</w:t>
      </w:r>
    </w:p>
    <w:p>
      <w:r>
        <w:pict>
          <v:rect style="width:0;height:1.5pt" o:hralign="center" o:hrstd="t" o:hr="t"/>
        </w:pict>
      </w:r>
    </w:p>
    <w:bookmarkEnd w:id="12"/>
    <w:bookmarkStart w:id="13" w:name="Xe4c971fa7b376ff75fbcb3173f238debda68849"/>
    <w:p>
      <w:pPr>
        <w:pStyle w:val="Heading2"/>
      </w:pPr>
      <w:r>
        <w:t xml:space="preserve">3. Current Guidance (pre-NSA/Canada) — The Baseline to Beat</w:t>
      </w:r>
    </w:p>
    <w:p>
      <w:pPr>
        <w:pStyle w:val="FirstParagraph"/>
      </w:pPr>
      <w:r>
        <w:t xml:space="preserve">Reaffirmed at Q1,</w:t>
      </w:r>
      <w:r>
        <w:t xml:space="preserve"> </w:t>
      </w:r>
      <w:r>
        <w:rPr>
          <w:b/>
          <w:bCs/>
        </w:rPr>
        <w:t xml:space="preserve">standalone and excluding the acquisitions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2026 Guide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Same-store revenue growth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(2.2)% to 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Same-store expense growth</w:t>
            </w:r>
          </w:p>
        </w:tc>
        <w:tc>
          <w:tcPr/>
          <w:p>
            <w:pPr>
              <w:pStyle w:val="Compact"/>
            </w:pPr>
            <w:r>
              <w:t xml:space="preserve">1.5% to 2.8%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Same-store NOI growth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(3.9)% to (0.5)%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Non-same-store NOI</w:t>
            </w:r>
          </w:p>
        </w:tc>
        <w:tc>
          <w:tcPr/>
          <w:p>
            <w:pPr>
              <w:pStyle w:val="Compact"/>
            </w:pPr>
            <m:oMath>
              <m:r>
                <m:t>335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t xml:space="preserve">355M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Core FFO / share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$16.35 – $17.00</w:t>
            </w:r>
          </w:p>
        </w:tc>
      </w:tr>
    </w:tbl>
    <w:p>
      <w:pPr>
        <w:pStyle w:val="BodyText"/>
      </w:pPr>
      <w:r>
        <w:rPr>
          <w:b/>
          <w:bCs/>
        </w:rPr>
        <w:t xml:space="preserve">The pivotal question:</w:t>
      </w:r>
      <w:r>
        <w:t xml:space="preserve"> </w:t>
      </w:r>
      <w:r>
        <w:t xml:space="preserve">with NSA now closed and Canada pending, this range is stale. Expect a</w:t>
      </w:r>
      <w:r>
        <w:t xml:space="preserve"> </w:t>
      </w:r>
      <w:r>
        <w:rPr>
          <w:b/>
          <w:bCs/>
        </w:rPr>
        <w:t xml:space="preserve">revised Core FFO guide</w:t>
      </w:r>
      <w:r>
        <w:t xml:space="preserve"> </w:t>
      </w:r>
      <w:r>
        <w:t xml:space="preserve">that (a) adds NSA (accretive year one, offset by higher share count + integration/transaction costs), (b) reflects Canada's OP-unit dilution/timing, and (c) marks-to-market a busy season that started ahead of plan. Watch whether the underlying</w:t>
      </w:r>
      <w:r>
        <w:t xml:space="preserve"> </w:t>
      </w:r>
      <w:r>
        <w:rPr>
          <w:b/>
          <w:bCs/>
        </w:rPr>
        <w:t xml:space="preserve">organic</w:t>
      </w:r>
      <w:r>
        <w:t xml:space="preserve"> </w:t>
      </w:r>
      <w:r>
        <w:t xml:space="preserve">same-store outlook is nudged up given the better-than-expected Q1 start.</w:t>
      </w:r>
    </w:p>
    <w:p>
      <w:r>
        <w:pict>
          <v:rect style="width:0;height:1.5pt" o:hralign="center" o:hrstd="t" o:hr="t"/>
        </w:pict>
      </w:r>
    </w:p>
    <w:bookmarkEnd w:id="13"/>
    <w:bookmarkStart w:id="14" w:name="X8bb0e535334b2a92e4505d2d913788bd9ba2b9b"/>
    <w:p>
      <w:pPr>
        <w:pStyle w:val="Heading2"/>
      </w:pPr>
      <w:r>
        <w:t xml:space="preserve">4. Stock Context — Expectations Are Elevated Going In</w:t>
      </w:r>
    </w:p>
    <w:p>
      <w:pPr>
        <w:pStyle w:val="Compact"/>
        <w:numPr>
          <w:ilvl w:val="0"/>
          <w:numId w:val="1006"/>
        </w:numPr>
      </w:pPr>
      <w:r>
        <w:t xml:space="preserve">PSA has</w:t>
      </w:r>
      <w:r>
        <w:t xml:space="preserve"> </w:t>
      </w:r>
      <w:r>
        <w:rPr>
          <w:b/>
          <w:bCs/>
        </w:rPr>
        <w:t xml:space="preserve">rallied ~28% YTD in 2026</w:t>
      </w:r>
      <w:r>
        <w:t xml:space="preserve"> </w:t>
      </w:r>
      <w:r>
        <w:t xml:space="preserve">(roughly $258 → $330), recovering from a</w:t>
      </w:r>
      <w:r>
        <w:t xml:space="preserve"> </w:t>
      </w:r>
      <w:r>
        <w:rPr>
          <w:b/>
          <w:bCs/>
        </w:rPr>
        <w:t xml:space="preserve">-12.5% 2025</w:t>
      </w:r>
      <w:r>
        <w:t xml:space="preserve">, and is trading near its highs into the print.</w:t>
      </w:r>
    </w:p>
    <w:p>
      <w:pPr>
        <w:pStyle w:val="Compact"/>
        <w:numPr>
          <w:ilvl w:val="0"/>
          <w:numId w:val="1006"/>
        </w:numPr>
      </w:pPr>
      <w:r>
        <w:t xml:space="preserve">That materially</w:t>
      </w:r>
      <w:r>
        <w:t xml:space="preserve"> </w:t>
      </w:r>
      <w:r>
        <w:rPr>
          <w:b/>
          <w:bCs/>
        </w:rPr>
        <w:t xml:space="preserve">outperforms peers</w:t>
      </w:r>
      <w:r>
        <w:t xml:space="preserve"> </w:t>
      </w:r>
      <w:r>
        <w:t xml:space="preserve">this year — Extra Space (EXR) +16% and CubeSmart (CUBE) +20% YTD — suggesting the market is rewarding the PS4.0 external-growth narrative and pricing in a successful NSA integration.</w:t>
      </w:r>
    </w:p>
    <w:p>
      <w:pPr>
        <w:pStyle w:val="Compact"/>
        <w:numPr>
          <w:ilvl w:val="0"/>
          <w:numId w:val="1006"/>
        </w:numPr>
      </w:pPr>
      <w:r>
        <w:t xml:space="preserve">The stock is up</w:t>
      </w:r>
      <w:r>
        <w:t xml:space="preserve"> </w:t>
      </w:r>
      <w:r>
        <w:rPr>
          <w:b/>
          <w:bCs/>
        </w:rPr>
        <w:t xml:space="preserve">~11% just since the Q1 print.</w:t>
      </w:r>
      <w:r>
        <w:t xml:space="preserve"> </w:t>
      </w:r>
      <w:r>
        <w:t xml:space="preserve">With sentiment this positive, the bar is higher: a simple guidance raise may be "in the price," and any hint of integration friction, softer busy-season pricing, or leverage creep could see profit-taking.</w:t>
      </w:r>
    </w:p>
    <w:p>
      <w:r>
        <w:pict>
          <v:rect style="width:0;height:1.5pt" o:hralign="center" o:hrstd="t" o:hr="t"/>
        </w:pict>
      </w:r>
    </w:p>
    <w:bookmarkEnd w:id="14"/>
    <w:bookmarkStart w:id="15" w:name="Xe78001f6b9ed9fac34a8ae4ee3eb666d1a4c6a0"/>
    <w:p>
      <w:pPr>
        <w:pStyle w:val="Heading2"/>
      </w:pPr>
      <w:r>
        <w:t xml:space="preserve">5. Investor Checklist for the Call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Revised 2026 Core FFO guidance</w:t>
      </w:r>
      <w:r>
        <w:t xml:space="preserve"> </w:t>
      </w:r>
      <w:r>
        <w:t xml:space="preserve">— magnitude of the raise and the NSA/Canada bridge (accretion vs. dilution vs. one-time costs).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Busy-season leading indicators</w:t>
      </w:r>
      <w:r>
        <w:t xml:space="preserve"> </w:t>
      </w:r>
      <w:r>
        <w:t xml:space="preserve">— move-in rate trajectory (did it turn positive?), occupancy vs. last year, and whether the</w:t>
      </w:r>
      <w:r>
        <w:t xml:space="preserve"> </w:t>
      </w:r>
      <w:r>
        <w:rPr>
          <w:b/>
          <w:bCs/>
        </w:rPr>
        <w:t xml:space="preserve">low-churn</w:t>
      </w:r>
      <w:r>
        <w:t xml:space="preserve"> </w:t>
      </w:r>
      <w:r>
        <w:t xml:space="preserve">dynamic held through peak season.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NSA integration</w:t>
      </w:r>
      <w:r>
        <w:t xml:space="preserve"> </w:t>
      </w:r>
      <w:r>
        <w:t xml:space="preserve">— early rebranding/onboarding progress, any change to the $110–130M synergy target or timeline, and JV mechanics.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PS Canada</w:t>
      </w:r>
      <w:r>
        <w:t xml:space="preserve"> </w:t>
      </w:r>
      <w:r>
        <w:t xml:space="preserve">— expected close date, accretion, and CAD financing.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Balance sheet</w:t>
      </w:r>
      <w:r>
        <w:t xml:space="preserve"> </w:t>
      </w:r>
      <w:r>
        <w:t xml:space="preserve">— pro-forma leverage (Debt/EBITDA) after NSA financing; is the "fortress" intact?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Management depth</w:t>
      </w:r>
      <w:r>
        <w:t xml:space="preserve"> </w:t>
      </w:r>
      <w:r>
        <w:t xml:space="preserve">— COO succession plan and the durability of the new leadership team.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LA rent-cap status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Sunbelt supply</w:t>
      </w:r>
      <w:r>
        <w:t xml:space="preserve"> </w:t>
      </w:r>
      <w:r>
        <w:t xml:space="preserve">— the two biggest swing factors on organic same-store.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Capital allocation runway</w:t>
      </w:r>
      <w:r>
        <w:t xml:space="preserve"> </w:t>
      </w:r>
      <w:r>
        <w:t xml:space="preserve">— appetite for more one-off/portfolio deals and lending growth after digesting two acquisitions.</w:t>
      </w:r>
    </w:p>
    <w:p>
      <w:pPr>
        <w:pStyle w:val="FirstParagraph"/>
      </w:pPr>
      <w:r>
        <w:rPr>
          <w:b/>
          <w:bCs/>
        </w:rPr>
        <w:t xml:space="preserve">Bottom line:</w:t>
      </w:r>
      <w:r>
        <w:t xml:space="preserve"> </w:t>
      </w:r>
      <w:r>
        <w:t xml:space="preserve">PSA goes into this print as a fundamentally larger, more externally-driven company than it was 90 days ago, with a stock near highs and expectations of a guidance raise. The organic self-storage recovery is still "coming but slower than hoped," so the report will hinge less on this quarter's same-store optics and more on</w:t>
      </w:r>
      <w:r>
        <w:t xml:space="preserve"> </w:t>
      </w:r>
      <w:r>
        <w:rPr>
          <w:b/>
          <w:bCs/>
        </w:rPr>
        <w:t xml:space="preserve">how credibly management can layer NSA + Canada accretion onto an improving 2027 setup</w:t>
      </w:r>
      <w:r>
        <w:t xml:space="preserve"> </w:t>
      </w:r>
      <w:r>
        <w:t xml:space="preserve">— while reassuring investors that a thinner, newer management bench can execute two integrations at once.</w:t>
      </w:r>
    </w:p>
    <w:p>
      <w:pPr>
        <w:pStyle w:val="BodyText"/>
      </w:pPr>
      <w:r>
        <w:rPr>
          <w:i/>
          <w:iCs/>
        </w:rPr>
        <w:t xml:space="preserve">Note: figures above are drawn from PSA's Q1 2026 release/call and subsequent 8-Ks and deal press releases; the July 29 report will supersede the pre-acquisition guidance shown here.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2026-07-29T02:10:06Z</dcterms:created>
  <dcterms:modified xsi:type="dcterms:W3CDTF">2026-07-29T02:10:06Z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