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a-earnings-predictions--2026-07-29"/>
    <w:p>
      <w:pPr>
        <w:pStyle w:val="Heading1"/>
      </w:pPr>
      <w:r>
        <w:t xml:space="preserve">PSA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~$4.32 vs. cons $4.26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~-0.3% vs. cons -1.3%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~-0.8% vs. cons -2.0%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per share guidance (post-NSA)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~$16.90 vs. cons $16.94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~0.0% vs. cons -1.1% (FY2026, prior range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~-1.5% vs. cons -2.2% (FY2026, prior range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PSA has already rallied ~28% YTD into the print (near $330, close to Street mean target of $332), and management explicitly framed NSA as roughly FFO-neutral in 2026 (accretion of</w:t>
            </w:r>
            <w:r>
              <w:t xml:space="preserve"> </w:t>
            </w:r>
            <m:oMath>
              <m:r>
                <m:t>0.10</m:t>
              </m:r>
              <m:r>
                <m:rPr>
                  <m:sty m:val="p"/>
                </m:rPr>
                <m:t>−</m:t>
              </m:r>
            </m:oMath>
            <w:r>
              <w:t xml:space="preserve">0.20 only arrives in 2027,</w:t>
            </w:r>
            <w:r>
              <w:t xml:space="preserve"> </w:t>
            </w:r>
            <m:oMath>
              <m:r>
                <m:t>0.35</m:t>
              </m:r>
              <m:r>
                <m:rPr>
                  <m:sty m:val="p"/>
                </m:rPr>
                <m:t>−</m:t>
              </m:r>
            </m:oMath>
            <w:r>
              <w:t xml:space="preserve">0.50 at 2028-29 stabilization). Consensus FY26 Core FFO of ~$16.94 already sits near the top of the pre-NSA</w:t>
            </w:r>
            <w:r>
              <w:t xml:space="preserve"> </w:t>
            </w:r>
            <m:oMath>
              <m:r>
                <m:t>16.35</m:t>
              </m:r>
              <m:r>
                <m:rPr>
                  <m:sty m:val="p"/>
                </m:rPr>
                <m:t>−</m:t>
              </m:r>
            </m:oMath>
            <w:r>
              <w:t xml:space="preserve">17.00 range, leaving little room for a dramatic raise; any reaffirm-rather-than-raise outcome, plus new pro-forma leverage/dilution details from the ~$900M debt raise and share issuance, gives analysts reason to trim out-quarter FFO/share estimates even after a same-store beat, causing the initial pop to partially fade over the week as the market digests integration/leverage complexity versus the cleaner EXR beat-and-raise the day before.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2026-07-29T02:08:53Z</dcterms:created>
  <dcterms:modified xsi:type="dcterms:W3CDTF">2026-07-29T02:08:53Z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