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EXR just reported Q2 2026 today. Let me pull that for read-across on sector trends.# Public Storage (PSA) — Q2 2026 Earnings Preview</w:t>
      </w:r>
      <w:r>
        <w:t xml:space="preserve"> </w:t>
      </w:r>
      <w:r>
        <w:rPr>
          <w:b/>
          <w:bCs/>
        </w:rPr>
        <w:t xml:space="preserve">Report Date:</w:t>
      </w:r>
      <w:r>
        <w:t xml:space="preserve"> </w:t>
      </w:r>
      <w:r>
        <w:t xml:space="preserve">Wednesday, July 29, 2026 |</w:t>
      </w:r>
      <w:r>
        <w:t xml:space="preserve"> </w:t>
      </w:r>
      <w:r>
        <w:rPr>
          <w:b/>
          <w:bCs/>
        </w:rPr>
        <w:t xml:space="preserve">Event:</w:t>
      </w:r>
      <w:r>
        <w:t xml:space="preserve"> </w:t>
      </w:r>
      <w:r>
        <w:t xml:space="preserve">Q2 2026 Earnings Call</w:t>
      </w:r>
    </w:p>
    <w:bookmarkStart w:id="9" w:name="setup-into-the-print"/>
    <w:p>
      <w:pPr>
        <w:pStyle w:val="Heading2"/>
      </w:pPr>
      <w:r>
        <w:t xml:space="preserve">Setup Into the Print</w:t>
      </w:r>
    </w:p>
    <w:p>
      <w:pPr>
        <w:pStyle w:val="FirstParagraph"/>
      </w:pPr>
      <w:r>
        <w:t xml:space="preserve">PSA shares have had a strong run into earnings, rallying from roughly $258 in early January to over $330 heading into the print — a gain of roughly 28% year-to-date, with a notable pop in the final days of July as sector sentiment improved. This is the first quarterly report since Public Storage</w:t>
      </w:r>
      <w:r>
        <w:t xml:space="preserve"> </w:t>
      </w:r>
      <w:r>
        <w:rPr>
          <w:b/>
          <w:bCs/>
        </w:rPr>
        <w:t xml:space="preserve">closed its transformative acquisition of National Storage Affiliates (NSA)</w:t>
      </w:r>
      <w:r>
        <w:t xml:space="preserve"> </w:t>
      </w:r>
      <w:r>
        <w:t xml:space="preserve">on July 22, so the call will likely be as much about integration mechanics and updated 2026 guidance (now including NSA) as it is about legacy same-store trends.</w:t>
      </w:r>
    </w:p>
    <w:bookmarkEnd w:id="9"/>
    <w:bookmarkStart w:id="10" w:name="the-big-story-nsa-deal-has-closed"/>
    <w:p>
      <w:pPr>
        <w:pStyle w:val="Heading2"/>
      </w:pPr>
      <w:r>
        <w:t xml:space="preserve">The Big Story: NSA Deal Has Closed</w:t>
      </w:r>
    </w:p>
    <w:p>
      <w:pPr>
        <w:pStyle w:val="FirstParagraph"/>
      </w:pPr>
      <w:r>
        <w:t xml:space="preserve">The dominant theme heading into this print is the completion of the NSA merger. Public Storage completed the acquisition of National Storage Affiliates Trust, enhancing its leadership as a premier global self-storage platform, with over 4,500 properties spanning 327 million rentable square feet across the United States, a significant presence in Europe with Shurgard, and an announced strategic entry into Canada. Under the deal terms, holders of NSA common shares were entitled to receive 0.14 of a Public Storage common share for each NSA common share held.</w:t>
      </w:r>
    </w:p>
    <w:p>
      <w:pPr>
        <w:pStyle w:val="BodyText"/>
      </w:pPr>
      <w:r>
        <w:t xml:space="preserve">Financially, management continues to frame this as accretive: Public Storage continues to expect the acquisition to be accretive to FFO per share within the first year following closing, with accretion expected to increase to approximately $0.35 to $0.50 per share upon realization of approximately $110 to $130 million in run-rate synergies over three to four years. As part of the closing, Public Storage and certain legacy limited partners in NSA's operating partnership formed a joint venture consisting of 313 properties previously owned by NSA across 28 states and Puerto Rico, with legacy limited partners owning approximately 80% of the joint venture and Public Storage holding the remaining interest, and the joint venture obtained approximately $2 billion in secured mortgage financing from Goldman Sachs Bank USA and Wells Fargo, and $237 million in mezzanine financing from Public Storage. PSA also raised roughly $900 million of debt tied to the acquisition, on top of the $500 million of 10-year unsecured notes issued earlier in the quarter — investors should watch for updated leverage metrics and pro-forma balance sheet detail now that the deal has actually funded.</w:t>
      </w:r>
    </w:p>
    <w:p>
      <w:pPr>
        <w:pStyle w:val="BodyText"/>
      </w:pPr>
      <w:r>
        <w:rPr>
          <w:b/>
          <w:bCs/>
        </w:rPr>
        <w:t xml:space="preserve">What to listen for:</w:t>
      </w:r>
      <w:r>
        <w:t xml:space="preserve"> </w:t>
      </w:r>
      <w:r>
        <w:t xml:space="preserve">first commentary on Q3 integration progress (branding conversion, platform onboarding), reaffirmation/updates to the synergy timeline, and — critically — an updated, NSA-inclusive full-year 2026 Core FFO guide, since prior guidance excluded the deal.</w:t>
      </w:r>
    </w:p>
    <w:bookmarkEnd w:id="10"/>
    <w:bookmarkStart w:id="11" w:name="q1-recap-a-strong-starting-point"/>
    <w:p>
      <w:pPr>
        <w:pStyle w:val="Heading2"/>
      </w:pPr>
      <w:r>
        <w:t xml:space="preserve">Q1 Recap: A Strong Starting Point</w:t>
      </w:r>
    </w:p>
    <w:p>
      <w:pPr>
        <w:pStyle w:val="FirstParagraph"/>
      </w:pPr>
      <w:r>
        <w:t xml:space="preserve">Public Storage's Q1 2026 results, reported April 28, came in ahead of expectations and set a constructive tone. Core FFO growth of 2.4% and Total Self-Storage growth of 2.6% were achieved during the first quarter of 2026, with a 77.1% Same Store net operating income margin, an expansion of 0.4% compared to the first quarter of 2025. On the call, CFO Joe Fisher noted Core FFO in the quarter was $4.22 per share, up $0.10 per share or 2.4% year-over-year, driven by better-than-expected same-store NOI and significant growth from the non-same-store portfolio and ancillary income initiatives. Move-in pricing, while still negative, beat expectations: move-in rents came in better than expected at minus 2.4% versus full-year expectations of down mid-single digits, and occupancy was positive year-over-year by 0.4% versus guidance assumed at flat for the year.</w:t>
      </w:r>
    </w:p>
    <w:p>
      <w:pPr>
        <w:pStyle w:val="BodyText"/>
      </w:pPr>
      <w:r>
        <w:t xml:space="preserve">Despite the beat, management held guidance steady rather than raising it, citing the seasonally quieter Q1 and the pending NSA close: "we are still early in the year with a busy season ahead of us. We still have NSA to get closed and integrated. And so our thought process is simply stay focused on the task at hand, focus on how we're going to finish the year, not how we're going to start it from a guidance perspective."</w:t>
      </w:r>
    </w:p>
    <w:p>
      <w:pPr>
        <w:pStyle w:val="BodyText"/>
      </w:pPr>
      <w:r>
        <w:rPr>
          <w:b/>
          <w:bCs/>
        </w:rPr>
        <w:t xml:space="preserve">2026 Guidance (as of Q1, pre-NSA):</w:t>
      </w:r>
      <w:r>
        <w:t xml:space="preserve"> </w:t>
      </w:r>
      <w:r>
        <w:t xml:space="preserve">| Metric | Low | High |</w:t>
      </w:r>
      <w:r>
        <w:t xml:space="preserve"> </w:t>
      </w:r>
      <w:r>
        <w:t xml:space="preserve">|---|---|---|</w:t>
      </w:r>
      <w:r>
        <w:t xml:space="preserve"> </w:t>
      </w:r>
      <w:r>
        <w:t xml:space="preserve">| Same-store revenue growth | (2.2)% | 0.0% |</w:t>
      </w:r>
      <w:r>
        <w:t xml:space="preserve"> </w:t>
      </w:r>
      <w:r>
        <w:t xml:space="preserve">| Same-store expense growth | 1.5% | 2.8% |</w:t>
      </w:r>
      <w:r>
        <w:t xml:space="preserve"> </w:t>
      </w:r>
      <w:r>
        <w:t xml:space="preserve">| Same-store NOI growth | (3.9)% | (0.5)% |</w:t>
      </w:r>
      <w:r>
        <w:t xml:space="preserve"> </w:t>
      </w:r>
      <w:r>
        <w:t xml:space="preserve">| Non-same-store NOI | $335M | $355M |</w:t>
      </w:r>
      <w:r>
        <w:t xml:space="preserve"> </w:t>
      </w:r>
      <w:r>
        <w:t xml:space="preserve">| Core FFO/share | $16.35 | $17.00 |</w:t>
      </w:r>
    </w:p>
    <w:p>
      <w:pPr>
        <w:pStyle w:val="BodyText"/>
      </w:pPr>
      <w:r>
        <w:t xml:space="preserve">Management flagged that year-over-year revenue growth as a lagging indicator will soften midyear even as leading indicators stayed positive — meaning Q2 same-store revenue comps were already expected to be the toughest of the year before NSA is even layered in.</w:t>
      </w:r>
    </w:p>
    <w:bookmarkEnd w:id="11"/>
    <w:bookmarkStart w:id="12" w:name="key-themes-to-watch-this-quarter"/>
    <w:p>
      <w:pPr>
        <w:pStyle w:val="Heading2"/>
      </w:pPr>
      <w:r>
        <w:t xml:space="preserve">Key Themes to Watch This Quarter</w:t>
      </w:r>
    </w:p>
    <w:p>
      <w:pPr>
        <w:pStyle w:val="FirstParagraph"/>
      </w:pPr>
      <w:r>
        <w:rPr>
          <w:b/>
          <w:bCs/>
        </w:rPr>
        <w:t xml:space="preserve">1. Churn and occupancy — has the positive trend held?</w:t>
      </w:r>
      <w:r>
        <w:t xml:space="preserve"> </w:t>
      </w:r>
      <w:r>
        <w:t xml:space="preserve">Q1's standout metric was a material drop in customer churn. Fisher explained "we did see a pretty material reduction in that churn number and move-outs coming down in the quarter," driven by good pay rates, minimal delinquency, and a focus on customer experience as part of PS4.0. Through April, trends were said to be holding: "we saw similar trends in April... better churn year-over-year, so lower move-out volume, lower move-in volume with occupancy kind of flat to a touch better and improving trends as it relates to move-in rates." Investors will want confirmation this persisted through the full quarter and into the peak summer leasing season.</w:t>
      </w:r>
    </w:p>
    <w:p>
      <w:pPr>
        <w:pStyle w:val="BodyText"/>
      </w:pPr>
      <w:r>
        <w:rPr>
          <w:b/>
          <w:bCs/>
        </w:rPr>
        <w:t xml:space="preserve">2. Los Angeles drag/tailwind dynamic.</w:t>
      </w:r>
      <w:r>
        <w:t xml:space="preserve"> </w:t>
      </w:r>
      <w:r>
        <w:t xml:space="preserve">The ongoing state of emergency continues to prevent PSA from raising rents in its LA portfolio. Management has baked in an assumed negative 80 basis point impact to same-store performance for the full year but stressed it has historically taken 18 to 24 months to get back to pre-emergency market rents after past events, which gives a guidepost for eventual re-acceleration. Any update on the emergency's status is a swing factor for both Q2 results and updated full-year guidance.</w:t>
      </w:r>
    </w:p>
    <w:p>
      <w:pPr>
        <w:pStyle w:val="BodyText"/>
      </w:pPr>
      <w:r>
        <w:rPr>
          <w:b/>
          <w:bCs/>
        </w:rPr>
        <w:t xml:space="preserve">3. Sunbelt supply absorption.</w:t>
      </w:r>
      <w:r>
        <w:t xml:space="preserve"> </w:t>
      </w:r>
      <w:r>
        <w:t xml:space="preserve">Markets like Tampa, Atlanta, Phoenix and Dallas remain pressured by new supply, though management pointed to improving sequential trends: "Revenue growth is still negative on a year-over-year basis, but improving sequentially... we expect kind of modest improvement as we move through '26 and forward." CFO Fisher added that third-party data suggests the industry is "leveling out and stabilizing" from a rate/occupancy perspective — a read likely to be tested against Q2 actuals.</w:t>
      </w:r>
    </w:p>
    <w:p>
      <w:pPr>
        <w:pStyle w:val="BodyText"/>
      </w:pPr>
      <w:r>
        <w:rPr>
          <w:b/>
          <w:bCs/>
        </w:rPr>
        <w:t xml:space="preserve">4. External growth and lending platform.</w:t>
      </w:r>
      <w:r>
        <w:t xml:space="preserve"> </w:t>
      </w:r>
      <w:r>
        <w:t xml:space="preserve">PSA had only deployed $186 million in acquisitions year-to-date as of Q1, with management expecting more activity to discuss in the second quarter. The lending book, roughly $150 million currently, is a small but growing ancillary profit stream that management believes "could grow up into the $0.5 billion to $1 billion range over time."</w:t>
      </w:r>
    </w:p>
    <w:bookmarkEnd w:id="12"/>
    <w:bookmarkStart w:id="13" w:name="Xee1b40764550e6e675a53b662c226fa94d1a7e7"/>
    <w:p>
      <w:pPr>
        <w:pStyle w:val="Heading2"/>
      </w:pPr>
      <w:r>
        <w:t xml:space="preserve">Sector Read-Across: A Bullish Signal from Extra Space</w:t>
      </w:r>
    </w:p>
    <w:p>
      <w:pPr>
        <w:pStyle w:val="FirstParagraph"/>
      </w:pPr>
      <w:r>
        <w:t xml:space="preserve">Peer Extra Space Storage (EXR) reported Q2 2026 results the same day (July 28) and beat-and-raised, which is an encouraging early signal for the group heading into PSA's own print. EXR posted Core FFO of</w:t>
      </w:r>
      <w:r>
        <w:t xml:space="preserve"> </w:t>
      </w:r>
      <m:oMath>
        <m:r>
          <m:t>2.15</m:t>
        </m:r>
        <m:r>
          <m:t>p</m:t>
        </m:r>
        <m:r>
          <m:t>e</m:t>
        </m:r>
        <m:r>
          <m:t>r</m:t>
        </m:r>
        <m:r>
          <m:t>d</m:t>
        </m:r>
        <m:r>
          <m:t>i</m:t>
        </m:r>
        <m:r>
          <m:t>l</m:t>
        </m:r>
        <m:r>
          <m:t>u</m:t>
        </m:r>
        <m:r>
          <m:t>t</m:t>
        </m:r>
        <m:r>
          <m:t>e</m:t>
        </m:r>
        <m:r>
          <m:t>d</m:t>
        </m:r>
        <m:r>
          <m:t>s</m:t>
        </m:r>
        <m:r>
          <m:t>h</m:t>
        </m:r>
        <m:r>
          <m:t>a</m:t>
        </m:r>
        <m:r>
          <m:t>r</m:t>
        </m:r>
        <m:r>
          <m:t>e</m:t>
        </m:r>
        <m:r>
          <m:rPr>
            <m:sty m:val="p"/>
          </m:rPr>
          <m:t>,</m:t>
        </m:r>
        <m:r>
          <m:t>u</m:t>
        </m:r>
        <m:r>
          <m:t>p</m:t>
        </m:r>
        <m:r>
          <m:t>4.9</m:t>
        </m:r>
      </m:oMath>
      <w:r>
        <w:t xml:space="preserve">8.25–</w:t>
      </w:r>
      <m:oMath>
        <m:r>
          <m:t>8.40</m:t>
        </m:r>
        <m:r>
          <m:rPr>
            <m:sty m:val="p"/>
          </m:rPr>
          <m:t>*</m:t>
        </m:r>
        <m:r>
          <m:rPr>
            <m:sty m:val="p"/>
          </m:rPr>
          <m:t>*</m:t>
        </m:r>
        <m:r>
          <m:t>f</m:t>
        </m:r>
        <m:r>
          <m:t>r</m:t>
        </m:r>
        <m:r>
          <m:t>o</m:t>
        </m:r>
        <m:r>
          <m:t>m</m:t>
        </m:r>
        <m:r>
          <m:rPr>
            <m:sty m:val="p"/>
          </m:rPr>
          <m:t>*</m:t>
        </m:r>
        <m:r>
          <m:rPr>
            <m:sty m:val="p"/>
          </m:rPr>
          <m:t>*</m:t>
        </m:r>
      </m:oMath>
      <w:r>
        <w:t xml:space="preserve">8.05–$8.35**. CEO Joe Margolis attributed the strength to "strong occupancy, improving store performance, and smart expense control — with meaningful contributions from our ancillary businesses" as the sector gets "deeper into the storage sector's recovery." If this dynamic is broad-based rather than company-specific, it raises the odds that Public Storage could similarly raise (rather than merely reaffirm) its own same-store outlook tomorrow — a key swing factor for how the stock reacts.</w:t>
      </w:r>
    </w:p>
    <w:bookmarkEnd w:id="13"/>
    <w:bookmarkStart w:id="14" w:name="balance-sheet--capital-markets"/>
    <w:p>
      <w:pPr>
        <w:pStyle w:val="Heading2"/>
      </w:pPr>
      <w:r>
        <w:t xml:space="preserve">Balance Sheet &amp; Capital Markets</w:t>
      </w:r>
    </w:p>
    <w:p>
      <w:pPr>
        <w:pStyle w:val="FirstParagraph"/>
      </w:pPr>
      <w:r>
        <w:t xml:space="preserve">Heading into the NSA close, PSA's balance sheet remained among the strongest in the REIT sector: total indebtedness of $10.1 billion as of March 31, 2026, with $650 million (6.4%) maturing in 2026, and approximately $1.9 billion of liquidity through cash, undrawn credit facility capacity, and expected retained cash flow. Leverage metrics were pristine — debt to EBITDA of 2.9x and credit ratings of A2/A from Moody's and S&amp;P. Since then, PSA layered in the</w:t>
      </w:r>
      <w:r>
        <w:t xml:space="preserve"> </w:t>
      </w:r>
      <m:oMath>
        <m:r>
          <m:t>900</m:t>
        </m:r>
        <m:r>
          <m:t>m</m:t>
        </m:r>
        <m:r>
          <m:t>i</m:t>
        </m:r>
        <m:r>
          <m:t>l</m:t>
        </m:r>
        <m:r>
          <m:t>l</m:t>
        </m:r>
        <m:r>
          <m:t>i</m:t>
        </m:r>
        <m:r>
          <m:t>o</m:t>
        </m:r>
        <m:r>
          <m:t>n</m:t>
        </m:r>
        <m:r>
          <m:t>d</m:t>
        </m:r>
        <m:r>
          <m:t>e</m:t>
        </m:r>
        <m:r>
          <m:t>b</m:t>
        </m:r>
        <m:r>
          <m:t>t</m:t>
        </m:r>
        <m:r>
          <m:t>r</m:t>
        </m:r>
        <m:r>
          <m:t>a</m:t>
        </m:r>
        <m:r>
          <m:t>i</m:t>
        </m:r>
        <m:r>
          <m:t>s</m:t>
        </m:r>
        <m:r>
          <m:t>e</m:t>
        </m:r>
        <m:r>
          <m:t>t</m:t>
        </m:r>
        <m:r>
          <m:t>i</m:t>
        </m:r>
        <m:r>
          <m:t>e</m:t>
        </m:r>
        <m:r>
          <m:t>d</m:t>
        </m:r>
        <m:r>
          <m:t>t</m:t>
        </m:r>
        <m:r>
          <m:t>o</m:t>
        </m:r>
        <m:r>
          <m:t>N</m:t>
        </m:r>
        <m:r>
          <m:t>S</m:t>
        </m:r>
        <m:r>
          <m:t>A</m:t>
        </m:r>
        <m:r>
          <m:t>a</m:t>
        </m:r>
        <m:r>
          <m:t>n</m:t>
        </m:r>
        <m:r>
          <m:t>d</m:t>
        </m:r>
        <m:r>
          <m:t>t</m:t>
        </m:r>
        <m:r>
          <m:t>h</m:t>
        </m:r>
        <m:r>
          <m:t>e</m:t>
        </m:r>
        <m:r>
          <m:t>J</m:t>
        </m:r>
        <m:sSup>
          <m:e>
            <m:r>
              <m:t>V</m:t>
            </m:r>
          </m:e>
          <m:sup>
            <m:r>
              <m:rPr>
                <m:sty m:val="p"/>
              </m:rPr>
              <m:t>′</m:t>
            </m:r>
          </m:sup>
        </m:sSup>
        <m:r>
          <m:t>s</m:t>
        </m:r>
        <m:r>
          <m:t> </m:t>
        </m:r>
      </m:oMath>
      <w:r>
        <w:t xml:space="preserve">2.2 billion of secured/mezzanine financing, so watch for updated pro-forma leverage — management has repeatedly emphasized preserving the "fortress" balance sheet through the deal structure.</w:t>
      </w:r>
    </w:p>
    <w:bookmarkEnd w:id="14"/>
    <w:bookmarkStart w:id="15" w:name="what-could-move-the-stock"/>
    <w:p>
      <w:pPr>
        <w:pStyle w:val="Heading2"/>
      </w:pPr>
      <w:r>
        <w:t xml:space="preserve">What Could Move the Stock</w:t>
      </w:r>
    </w:p>
    <w:p>
      <w:pPr>
        <w:pStyle w:val="Compact"/>
        <w:numPr>
          <w:ilvl w:val="0"/>
          <w:numId w:val="1001"/>
        </w:numPr>
      </w:pPr>
      <w:r>
        <w:rPr>
          <w:b/>
          <w:bCs/>
        </w:rPr>
        <w:t xml:space="preserve">Upside catalysts:</w:t>
      </w:r>
      <w:r>
        <w:t xml:space="preserve"> </w:t>
      </w:r>
      <w:r>
        <w:t xml:space="preserve">An NSA-inclusive guidance raise; confirmation that churn/occupancy strength continued through Q2 and into the July leasing season; signs that Sunbelt markets are absorbing supply faster than expected (echoing EXR's read); early synergy realization commentary on NSA.</w:t>
      </w:r>
    </w:p>
    <w:p>
      <w:pPr>
        <w:pStyle w:val="Compact"/>
        <w:numPr>
          <w:ilvl w:val="0"/>
          <w:numId w:val="1001"/>
        </w:numPr>
      </w:pPr>
      <w:r>
        <w:rPr>
          <w:b/>
          <w:bCs/>
        </w:rPr>
        <w:t xml:space="preserve">Risks/watch items:</w:t>
      </w:r>
      <w:r>
        <w:t xml:space="preserve"> </w:t>
      </w:r>
      <w:r>
        <w:t xml:space="preserve">Any integration hiccups or cost overruns as NSA is folded onto the PS Next platform; continued LA state-of-emergency drag; softer-than-expected macro (housing turnover, job growth) weighing on move-in demand; leverage creep post-NSA funding; the natural "lagging indicator" step-down in reported same-store revenue growth that management already flagged for Q2/Q3.</w:t>
      </w:r>
    </w:p>
    <w:bookmarkEnd w:id="15"/>
    <w:bookmarkStart w:id="16" w:name="bottom-line"/>
    <w:p>
      <w:pPr>
        <w:pStyle w:val="Heading2"/>
      </w:pPr>
      <w:r>
        <w:t xml:space="preserve">Bottom Line</w:t>
      </w:r>
    </w:p>
    <w:p>
      <w:pPr>
        <w:pStyle w:val="FirstParagraph"/>
      </w:pPr>
      <w:r>
        <w:t xml:space="preserve">This print is less about a single quarter's same-store numbers and more about</w:t>
      </w:r>
      <w:r>
        <w:t xml:space="preserve"> </w:t>
      </w:r>
      <w:r>
        <w:rPr>
          <w:b/>
          <w:bCs/>
        </w:rPr>
        <w:t xml:space="preserve">the first formal update since PSA closed its largest-ever acquisition</w:t>
      </w:r>
      <w:r>
        <w:t xml:space="preserve">. Investors should focus on: (1) an updated, NSA-inclusive full-year 2026 Core FFO and same-store guidance range, (2) early integration/synergy commentary, (3) confirmation that the encouraging churn/occupancy trends from Q1 carried through the peak leasing season, and (4) pro-forma balance sheet metrics after the NSA-related debt raises. The strong beat-and-raise from Extra Space Storage the day before is a constructive read-through for the sector's demand/supply recovery narrative that PSA management has been building around its "PS4.0" strategy all year.</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2026-07-29T02:08:53Z</dcterms:created>
  <dcterms:modified xsi:type="dcterms:W3CDTF">2026-07-29T02:08:53Z</dcterms:modified>
</cp:coreProperties>
</file>

<file path=docProps/custom.xml><?xml version="1.0" encoding="utf-8"?>
<Properties xmlns="http://schemas.openxmlformats.org/officeDocument/2006/custom-properties" xmlns:vt="http://schemas.openxmlformats.org/officeDocument/2006/docPropsVTypes"/>
</file>